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i w:val="false"/>
          <w:iCs w:val="false"/>
          <w:color w:val="0064F0"/>
          <w:sz w:val="34"/>
          <w:szCs w:val="34"/>
        </w:rPr>
        <w:t xml:space="preserve">nexacu</w:t>
      </w:r>
    </w:p>
    <w:p>
      <w:pPr>
        <w:spacing w:after="320"/>
      </w:pPr>
      <w:r>
        <w:rPr>
          <w:rFonts w:ascii="Calibri" w:cs="Calibri" w:eastAsia="Calibri" w:hAnsi="Calibri"/>
          <w:b/>
          <w:bCs/>
          <w:color w:val="9AA3AF"/>
          <w:spacing w:val="30"/>
          <w:sz w:val="13"/>
          <w:szCs w:val="13"/>
        </w:rPr>
        <w:t xml:space="preserve">AI CAPABILITY TOOLKIT</w:t>
      </w:r>
    </w:p>
    <w:p>
      <w:pPr>
        <w:keepNext/>
        <w:spacing w:after="70"/>
      </w:pPr>
      <w:r>
        <w:rPr>
          <w:rFonts w:ascii="Calibri" w:cs="Calibri" w:eastAsia="Calibri" w:hAnsi="Calibri"/>
          <w:b/>
          <w:bCs/>
          <w:color w:val="0064F0"/>
          <w:spacing w:val="30"/>
          <w:sz w:val="15"/>
          <w:szCs w:val="15"/>
        </w:rPr>
        <w:t xml:space="preserve">AI GOVERNANCE  ·  STEP TWO OF THREE</w:t>
      </w:r>
    </w:p>
    <w:p>
      <w:pPr>
        <w:spacing w:after="60"/>
      </w:pPr>
      <w:r>
        <w:rPr>
          <w:rFonts w:ascii="Calibri" w:cs="Calibri" w:eastAsia="Calibri" w:hAnsi="Calibri"/>
          <w:b/>
          <w:bCs/>
          <w:i w:val="false"/>
          <w:iCs w:val="false"/>
          <w:color w:val="111823"/>
          <w:sz w:val="44"/>
          <w:szCs w:val="44"/>
        </w:rPr>
        <w:t xml:space="preserve">The AI risk</w:t>
      </w:r>
    </w:p>
    <w:p>
      <w:pPr>
        <w:spacing w:after="200"/>
      </w:pPr>
      <w:r>
        <w:rPr>
          <w:rFonts w:ascii="Calibri" w:cs="Calibri" w:eastAsia="Calibri" w:hAnsi="Calibri"/>
          <w:b/>
          <w:bCs/>
          <w:i w:val="false"/>
          <w:iCs w:val="false"/>
          <w:color w:val="0064F0"/>
          <w:sz w:val="44"/>
          <w:szCs w:val="44"/>
        </w:rPr>
        <w:t xml:space="preserve">assessment template</w:t>
      </w:r>
    </w:p>
    <w:p>
      <w:pPr>
        <w:spacing w:after="240" w:before="0" w:line="264"/>
      </w:pPr>
      <w:r>
        <w:rPr>
          <w:rFonts w:ascii="Calibri" w:cs="Calibri" w:eastAsia="Calibri" w:hAnsi="Calibri"/>
          <w:b w:val="false"/>
          <w:bCs w:val="false"/>
          <w:i w:val="false"/>
          <w:iCs w:val="false"/>
          <w:color w:val="2B333F"/>
          <w:sz w:val="22"/>
          <w:szCs w:val="22"/>
        </w:rPr>
        <w:t xml:space="preserve">One use case, assessed properly, in about half a day. Built on the ISO/IEC 23894 process, with the National AI Centre’s screening questions and the Australian contexts where the answer has to be no. Complete this before you write the policy, because the policy is written from it.</w:t>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single" w:color="0064F0" w:sz="18"/>
              <w:bottom w:val="none" w:color="FFFFFF" w:sz="0"/>
              <w:right w:val="none" w:color="FFFFFF" w:sz="0"/>
            </w:tcBorders>
            <w:shd w:fill="EFF6FF" w:color="auto" w:val="clear"/>
            <w:tcMar>
              <w:top w:type="dxa" w:w="170"/>
              <w:left w:type="dxa" w:w="200"/>
              <w:bottom w:type="dxa" w:w="170"/>
              <w:right w:type="dxa" w:w="200"/>
            </w:tcMar>
          </w:tcPr>
          <w:p>
            <w:pPr>
              <w:spacing w:after="90"/>
            </w:pPr>
            <w:r>
              <w:rPr>
                <w:rFonts w:ascii="Calibri" w:cs="Calibri" w:eastAsia="Calibri" w:hAnsi="Calibri"/>
                <w:b/>
                <w:bCs/>
                <w:color w:val="0064F0"/>
                <w:spacing w:val="26"/>
                <w:sz w:val="15"/>
                <w:szCs w:val="15"/>
              </w:rPr>
              <w:t xml:space="preserve">THE GAP THIS TEMPLATE CLOSES</w:t>
            </w:r>
          </w:p>
          <w:p>
            <w:pPr>
              <w:spacing w:after="0" w:line="254"/>
            </w:pPr>
            <w:r>
              <w:rPr>
                <w:rFonts w:ascii="Calibri" w:cs="Calibri" w:eastAsia="Calibri" w:hAnsi="Calibri"/>
                <w:b w:val="false"/>
                <w:bCs w:val="false"/>
                <w:i w:val="false"/>
                <w:iCs w:val="false"/>
                <w:color w:val="2B333F"/>
                <w:sz w:val="19"/>
                <w:szCs w:val="19"/>
              </w:rPr>
              <w:t xml:space="preserve">94% of Australian organisations report implementing AI standards or guidelines. 21% assess third party vendor AI model claims. Almost everybody has a document. One in five checks what their AI vendors actually claim. That distance is the difference between having a policy and having done the work. Source: Fifth Quadrant for the National AI Centre, Australian Responsible AI Index 2025.</w:t>
            </w:r>
          </w:p>
        </w:tc>
      </w:tr>
    </w:tbl>
    <w:p>
      <w:pPr>
        <w:pBdr>
          <w:bottom w:val="single" w:color="E3E8EF" w:sz="6"/>
        </w:pBdr>
        <w:spacing w:after="220" w:before="260"/>
      </w:pPr>
      <w:r>
        <w:rPr>
          <w:sz w:val="2"/>
          <w:szCs w:val="2"/>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2435"/>
        <w:gridCol w:w="2435"/>
        <w:gridCol w:w="2435"/>
        <w:gridCol w:w="2435"/>
      </w:tblGrid>
      <w:tr>
        <w:tc>
          <w:tcPr>
            <w:tcW w:type="dxa" w:w="2435"/>
            <w:tcBorders>
              <w:top w:val="none" w:color="FFFFFF" w:sz="0"/>
              <w:left w:val="none" w:color="FFFFFF" w:sz="0"/>
              <w:bottom w:val="none" w:color="FFFFFF" w:sz="0"/>
              <w:right w:val="none" w:color="FFFFFF" w:sz="0"/>
            </w:tcBorders>
            <w:tcMar>
              <w:top w:type="dxa" w:w="0"/>
              <w:left w:type="dxa" w:w="0"/>
              <w:bottom w:type="dxa" w:w="0"/>
              <w:right w:type="dxa" w:w="200"/>
            </w:tcMar>
          </w:tcPr>
          <w:p>
            <w:pPr>
              <w:spacing w:after="50"/>
            </w:pPr>
            <w:r>
              <w:rPr>
                <w:rFonts w:ascii="Calibri" w:cs="Calibri" w:eastAsia="Calibri" w:hAnsi="Calibri"/>
                <w:b/>
                <w:bCs/>
                <w:color w:val="9AA3AF"/>
                <w:spacing w:val="22"/>
                <w:sz w:val="14"/>
                <w:szCs w:val="14"/>
              </w:rPr>
              <w:t xml:space="preserve">WHO COMPLETES IT</w:t>
            </w:r>
          </w:p>
          <w:p>
            <w:pPr>
              <w:spacing w:after="0"/>
            </w:pPr>
            <w:r>
              <w:rPr>
                <w:rFonts w:ascii="Calibri" w:cs="Calibri" w:eastAsia="Calibri" w:hAnsi="Calibri"/>
                <w:b/>
                <w:bCs/>
                <w:i w:val="false"/>
                <w:iCs w:val="false"/>
                <w:color w:val="111823"/>
                <w:sz w:val="18"/>
                <w:szCs w:val="18"/>
              </w:rPr>
              <w:t xml:space="preserve">Business owner and risk</w:t>
            </w:r>
          </w:p>
        </w:tc>
        <w:tc>
          <w:tcPr>
            <w:tcW w:type="dxa" w:w="2435"/>
            <w:tcBorders>
              <w:top w:val="none" w:color="FFFFFF" w:sz="0"/>
              <w:left w:val="none" w:color="FFFFFF" w:sz="0"/>
              <w:bottom w:val="none" w:color="FFFFFF" w:sz="0"/>
              <w:right w:val="none" w:color="FFFFFF" w:sz="0"/>
            </w:tcBorders>
            <w:tcMar>
              <w:top w:type="dxa" w:w="0"/>
              <w:left w:type="dxa" w:w="0"/>
              <w:bottom w:type="dxa" w:w="0"/>
              <w:right w:type="dxa" w:w="200"/>
            </w:tcMar>
          </w:tcPr>
          <w:p>
            <w:pPr>
              <w:spacing w:after="50"/>
            </w:pPr>
            <w:r>
              <w:rPr>
                <w:rFonts w:ascii="Calibri" w:cs="Calibri" w:eastAsia="Calibri" w:hAnsi="Calibri"/>
                <w:b/>
                <w:bCs/>
                <w:color w:val="9AA3AF"/>
                <w:spacing w:val="22"/>
                <w:sz w:val="14"/>
                <w:szCs w:val="14"/>
              </w:rPr>
              <w:t xml:space="preserve">TIME TO COMPLETE</w:t>
            </w:r>
          </w:p>
          <w:p>
            <w:pPr>
              <w:spacing w:after="0"/>
            </w:pPr>
            <w:r>
              <w:rPr>
                <w:rFonts w:ascii="Calibri" w:cs="Calibri" w:eastAsia="Calibri" w:hAnsi="Calibri"/>
                <w:b/>
                <w:bCs/>
                <w:i w:val="false"/>
                <w:iCs w:val="false"/>
                <w:color w:val="111823"/>
                <w:sz w:val="18"/>
                <w:szCs w:val="18"/>
              </w:rPr>
              <w:t xml:space="preserve">Half a day</w:t>
            </w:r>
          </w:p>
        </w:tc>
        <w:tc>
          <w:tcPr>
            <w:tcW w:type="dxa" w:w="2435"/>
            <w:tcBorders>
              <w:top w:val="none" w:color="FFFFFF" w:sz="0"/>
              <w:left w:val="none" w:color="FFFFFF" w:sz="0"/>
              <w:bottom w:val="none" w:color="FFFFFF" w:sz="0"/>
              <w:right w:val="none" w:color="FFFFFF" w:sz="0"/>
            </w:tcBorders>
            <w:tcMar>
              <w:top w:type="dxa" w:w="0"/>
              <w:left w:type="dxa" w:w="0"/>
              <w:bottom w:type="dxa" w:w="0"/>
              <w:right w:type="dxa" w:w="200"/>
            </w:tcMar>
          </w:tcPr>
          <w:p>
            <w:pPr>
              <w:spacing w:after="50"/>
            </w:pPr>
            <w:r>
              <w:rPr>
                <w:rFonts w:ascii="Calibri" w:cs="Calibri" w:eastAsia="Calibri" w:hAnsi="Calibri"/>
                <w:b/>
                <w:bCs/>
                <w:color w:val="9AA3AF"/>
                <w:spacing w:val="22"/>
                <w:sz w:val="14"/>
                <w:szCs w:val="14"/>
              </w:rPr>
              <w:t xml:space="preserve">COVERS</w:t>
            </w:r>
          </w:p>
          <w:p>
            <w:pPr>
              <w:spacing w:after="0"/>
            </w:pPr>
            <w:r>
              <w:rPr>
                <w:rFonts w:ascii="Calibri" w:cs="Calibri" w:eastAsia="Calibri" w:hAnsi="Calibri"/>
                <w:b/>
                <w:bCs/>
                <w:i w:val="false"/>
                <w:iCs w:val="false"/>
                <w:color w:val="111823"/>
                <w:sz w:val="18"/>
                <w:szCs w:val="18"/>
              </w:rPr>
              <w:t xml:space="preserve">One use case</w:t>
            </w:r>
          </w:p>
        </w:tc>
        <w:tc>
          <w:tcPr>
            <w:tcW w:type="dxa" w:w="2435"/>
            <w:tcBorders>
              <w:top w:val="none" w:color="FFFFFF" w:sz="0"/>
              <w:left w:val="none" w:color="FFFFFF" w:sz="0"/>
              <w:bottom w:val="none" w:color="FFFFFF" w:sz="0"/>
              <w:right w:val="none" w:color="FFFFFF" w:sz="0"/>
            </w:tcBorders>
            <w:tcMar>
              <w:top w:type="dxa" w:w="0"/>
              <w:left w:type="dxa" w:w="0"/>
              <w:bottom w:type="dxa" w:w="0"/>
              <w:right w:type="dxa" w:w="200"/>
            </w:tcMar>
          </w:tcPr>
          <w:p>
            <w:pPr>
              <w:spacing w:after="50"/>
            </w:pPr>
            <w:r>
              <w:rPr>
                <w:rFonts w:ascii="Calibri" w:cs="Calibri" w:eastAsia="Calibri" w:hAnsi="Calibri"/>
                <w:b/>
                <w:bCs/>
                <w:color w:val="9AA3AF"/>
                <w:spacing w:val="22"/>
                <w:sz w:val="14"/>
                <w:szCs w:val="14"/>
              </w:rPr>
              <w:t xml:space="preserve">REVIEW AT</w:t>
            </w:r>
          </w:p>
          <w:p>
            <w:pPr>
              <w:spacing w:after="0"/>
            </w:pPr>
            <w:r>
              <w:rPr>
                <w:rFonts w:ascii="Calibri" w:cs="Calibri" w:eastAsia="Calibri" w:hAnsi="Calibri"/>
                <w:b/>
                <w:bCs/>
                <w:i w:val="false"/>
                <w:iCs w:val="false"/>
                <w:color w:val="111823"/>
                <w:sz w:val="18"/>
                <w:szCs w:val="18"/>
              </w:rPr>
              <w:t xml:space="preserve">12 months, or on change</w:t>
            </w:r>
          </w:p>
        </w:tc>
      </w:tr>
    </w:tbl>
    <w:p>
      <w:pPr>
        <w:pBdr>
          <w:bottom w:val="single" w:color="E3E8EF" w:sz="6"/>
        </w:pBdr>
        <w:spacing w:after="40" w:before="220"/>
      </w:pPr>
      <w:r>
        <w:rPr>
          <w:sz w:val="2"/>
          <w:szCs w:val="2"/>
        </w:rPr>
        <w:t xml:space="preserve"/>
      </w:r>
    </w:p>
    <w:p>
      <w:pPr>
        <w:spacing w:after="0" w:before="0" w:line="264"/>
      </w:pPr>
      <w:r>
        <w:rPr>
          <w:rFonts w:ascii="Calibri" w:cs="Calibri" w:eastAsia="Calibri" w:hAnsi="Calibri"/>
          <w:b/>
          <w:bCs/>
          <w:i w:val="false"/>
          <w:iCs w:val="false"/>
          <w:color w:val="111823"/>
          <w:sz w:val="15"/>
          <w:szCs w:val="15"/>
        </w:rPr>
        <w:t xml:space="preserve">ASSESS  ·  DECIDE  ·  THEN WRITE THE POLICY</w:t>
      </w:r>
      <w:r>
        <w:rPr>
          <w:rFonts w:ascii="Calibri" w:cs="Calibri" w:eastAsia="Calibri" w:hAnsi="Calibri"/>
          <w:b/>
          <w:bCs/>
          <w:i w:val="false"/>
          <w:iCs w:val="false"/>
          <w:color w:val="0064F0"/>
          <w:sz w:val="15"/>
          <w:szCs w:val="15"/>
        </w:rPr>
        <w:t xml:space="preserve">          nexacu.com.au</w:t>
      </w:r>
    </w:p>
    <w:p>
      <w:r>
        <w:br w:type="page"/>
      </w:r>
    </w:p>
    <w:p>
      <w:pPr>
        <w:keepNext/>
        <w:spacing w:after="70"/>
      </w:pPr>
      <w:r>
        <w:rPr>
          <w:rFonts w:ascii="Calibri" w:cs="Calibri" w:eastAsia="Calibri" w:hAnsi="Calibri"/>
          <w:b/>
          <w:bCs/>
          <w:color w:val="0064F0"/>
          <w:spacing w:val="30"/>
          <w:sz w:val="15"/>
          <w:szCs w:val="15"/>
        </w:rPr>
        <w:t xml:space="preserve">METHOD</w:t>
      </w:r>
    </w:p>
    <w:p>
      <w:pPr>
        <w:keepNext/>
        <w:spacing w:after="140" w:before="0"/>
      </w:pPr>
      <w:r>
        <w:rPr>
          <w:rFonts w:ascii="Calibri" w:cs="Calibri" w:eastAsia="Calibri" w:hAnsi="Calibri"/>
          <w:b/>
          <w:bCs/>
          <w:i w:val="false"/>
          <w:iCs w:val="false"/>
          <w:color w:val="111823"/>
          <w:sz w:val="30"/>
          <w:szCs w:val="30"/>
        </w:rPr>
        <w:t xml:space="preserve">How to use this template</w:t>
      </w:r>
    </w:p>
    <w:p>
      <w:pPr>
        <w:spacing w:after="220" w:before="0" w:line="264"/>
      </w:pPr>
      <w:r>
        <w:rPr>
          <w:rFonts w:ascii="Calibri" w:cs="Calibri" w:eastAsia="Calibri" w:hAnsi="Calibri"/>
          <w:b w:val="false"/>
          <w:bCs w:val="false"/>
          <w:i w:val="false"/>
          <w:iCs w:val="false"/>
          <w:color w:val="2B333F"/>
          <w:sz w:val="20"/>
          <w:szCs w:val="20"/>
        </w:rPr>
        <w:t xml:space="preserve">ISO/IEC 23894 mirrors ISO 31000 clause for clause. If your organisation already runs enterprise risk, you are extending a process you have, not building a new one.</w:t>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560"/>
        <w:gridCol w:w="9180"/>
      </w:tblGrid>
      <w:tr>
        <w:tc>
          <w:tcPr>
            <w:tcW w:type="dxa" w:w="560"/>
            <w:tcBorders>
              <w:top w:val="none" w:color="FFFFFF" w:sz="0"/>
              <w:left w:val="none" w:color="FFFFFF" w:sz="0"/>
              <w:bottom w:val="none" w:color="FFFFFF" w:sz="0"/>
              <w:right w:val="none" w:color="FFFFFF" w:sz="0"/>
            </w:tcBorders>
            <w:tcMar>
              <w:top w:type="dxa" w:w="40"/>
              <w:left w:type="dxa" w:w="0"/>
              <w:bottom w:type="dxa" w:w="40"/>
              <w:right w:type="dxa" w:w="120"/>
            </w:tcMar>
          </w:tcPr>
          <w:p>
            <w:pPr>
              <w:spacing w:after="0"/>
            </w:pPr>
            <w:r>
              <w:rPr>
                <w:rFonts w:ascii="Calibri" w:cs="Calibri" w:eastAsia="Calibri" w:hAnsi="Calibri"/>
                <w:b/>
                <w:bCs/>
                <w:i w:val="false"/>
                <w:iCs w:val="false"/>
                <w:color w:val="0064F0"/>
                <w:sz w:val="22"/>
                <w:szCs w:val="22"/>
              </w:rPr>
              <w:t xml:space="preserve">1</w:t>
            </w:r>
          </w:p>
        </w:tc>
        <w:tc>
          <w:tcPr>
            <w:tcW w:type="dxa" w:w="9180"/>
            <w:tcBorders>
              <w:top w:val="none" w:color="FFFFFF" w:sz="0"/>
              <w:left w:val="none" w:color="FFFFFF" w:sz="0"/>
              <w:bottom w:val="none" w:color="FFFFFF" w:sz="0"/>
              <w:right w:val="none" w:color="FFFFFF" w:sz="0"/>
            </w:tcBorders>
            <w:tcMar>
              <w:top w:type="dxa" w:w="40"/>
              <w:left w:type="dxa" w:w="0"/>
              <w:bottom w:type="dxa" w:w="180"/>
              <w:right w:type="dxa" w:w="0"/>
            </w:tcMar>
          </w:tcPr>
          <w:p>
            <w:pPr>
              <w:spacing w:after="60"/>
            </w:pPr>
            <w:r>
              <w:rPr>
                <w:rFonts w:ascii="Calibri" w:cs="Calibri" w:eastAsia="Calibri" w:hAnsi="Calibri"/>
                <w:b/>
                <w:bCs/>
                <w:i w:val="false"/>
                <w:iCs w:val="false"/>
                <w:color w:val="111823"/>
                <w:sz w:val="21"/>
                <w:szCs w:val="21"/>
              </w:rPr>
              <w:t xml:space="preserve">Scope, context and criteria</w:t>
            </w:r>
          </w:p>
          <w:p>
            <w:pPr>
              <w:spacing w:after="0" w:line="254"/>
            </w:pPr>
            <w:r>
              <w:rPr>
                <w:rFonts w:ascii="Calibri" w:cs="Calibri" w:eastAsia="Calibri" w:hAnsi="Calibri"/>
                <w:b w:val="false"/>
                <w:bCs w:val="false"/>
                <w:i w:val="false"/>
                <w:iCs w:val="false"/>
                <w:color w:val="2B333F"/>
                <w:sz w:val="19"/>
                <w:szCs w:val="19"/>
              </w:rPr>
              <w:t xml:space="preserve">Part A. Name the specific use case, not "AI". Set the criteria for what counts as an unacceptable outcome before you look at any risks.</w:t>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560"/>
        <w:gridCol w:w="9180"/>
      </w:tblGrid>
      <w:tr>
        <w:tc>
          <w:tcPr>
            <w:tcW w:type="dxa" w:w="560"/>
            <w:tcBorders>
              <w:top w:val="none" w:color="FFFFFF" w:sz="0"/>
              <w:left w:val="none" w:color="FFFFFF" w:sz="0"/>
              <w:bottom w:val="none" w:color="FFFFFF" w:sz="0"/>
              <w:right w:val="none" w:color="FFFFFF" w:sz="0"/>
            </w:tcBorders>
            <w:tcMar>
              <w:top w:type="dxa" w:w="40"/>
              <w:left w:type="dxa" w:w="0"/>
              <w:bottom w:type="dxa" w:w="40"/>
              <w:right w:type="dxa" w:w="120"/>
            </w:tcMar>
          </w:tcPr>
          <w:p>
            <w:pPr>
              <w:spacing w:after="0"/>
            </w:pPr>
            <w:r>
              <w:rPr>
                <w:rFonts w:ascii="Calibri" w:cs="Calibri" w:eastAsia="Calibri" w:hAnsi="Calibri"/>
                <w:b/>
                <w:bCs/>
                <w:i w:val="false"/>
                <w:iCs w:val="false"/>
                <w:color w:val="0064F0"/>
                <w:sz w:val="22"/>
                <w:szCs w:val="22"/>
              </w:rPr>
              <w:t xml:space="preserve">2</w:t>
            </w:r>
          </w:p>
        </w:tc>
        <w:tc>
          <w:tcPr>
            <w:tcW w:type="dxa" w:w="9180"/>
            <w:tcBorders>
              <w:top w:val="none" w:color="FFFFFF" w:sz="0"/>
              <w:left w:val="none" w:color="FFFFFF" w:sz="0"/>
              <w:bottom w:val="none" w:color="FFFFFF" w:sz="0"/>
              <w:right w:val="none" w:color="FFFFFF" w:sz="0"/>
            </w:tcBorders>
            <w:tcMar>
              <w:top w:type="dxa" w:w="40"/>
              <w:left w:type="dxa" w:w="0"/>
              <w:bottom w:type="dxa" w:w="180"/>
              <w:right w:type="dxa" w:w="0"/>
            </w:tcMar>
          </w:tcPr>
          <w:p>
            <w:pPr>
              <w:spacing w:after="60"/>
            </w:pPr>
            <w:r>
              <w:rPr>
                <w:rFonts w:ascii="Calibri" w:cs="Calibri" w:eastAsia="Calibri" w:hAnsi="Calibri"/>
                <w:b/>
                <w:bCs/>
                <w:i w:val="false"/>
                <w:iCs w:val="false"/>
                <w:color w:val="111823"/>
                <w:sz w:val="21"/>
                <w:szCs w:val="21"/>
              </w:rPr>
              <w:t xml:space="preserve">Screen</w:t>
            </w:r>
          </w:p>
          <w:p>
            <w:pPr>
              <w:spacing w:after="0" w:line="254"/>
            </w:pPr>
            <w:r>
              <w:rPr>
                <w:rFonts w:ascii="Calibri" w:cs="Calibri" w:eastAsia="Calibri" w:hAnsi="Calibri"/>
                <w:b w:val="false"/>
                <w:bCs w:val="false"/>
                <w:i w:val="false"/>
                <w:iCs w:val="false"/>
                <w:color w:val="2B333F"/>
                <w:sz w:val="19"/>
                <w:szCs w:val="19"/>
              </w:rPr>
              <w:t xml:space="preserve">Part B. Seven questions that set how deep the assessment needs to go, then the contexts where Australian law and guidance already draw the line.</w:t>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560"/>
        <w:gridCol w:w="9180"/>
      </w:tblGrid>
      <w:tr>
        <w:tc>
          <w:tcPr>
            <w:tcW w:type="dxa" w:w="560"/>
            <w:tcBorders>
              <w:top w:val="none" w:color="FFFFFF" w:sz="0"/>
              <w:left w:val="none" w:color="FFFFFF" w:sz="0"/>
              <w:bottom w:val="none" w:color="FFFFFF" w:sz="0"/>
              <w:right w:val="none" w:color="FFFFFF" w:sz="0"/>
            </w:tcBorders>
            <w:tcMar>
              <w:top w:type="dxa" w:w="40"/>
              <w:left w:type="dxa" w:w="0"/>
              <w:bottom w:type="dxa" w:w="40"/>
              <w:right w:type="dxa" w:w="120"/>
            </w:tcMar>
          </w:tcPr>
          <w:p>
            <w:pPr>
              <w:spacing w:after="0"/>
            </w:pPr>
            <w:r>
              <w:rPr>
                <w:rFonts w:ascii="Calibri" w:cs="Calibri" w:eastAsia="Calibri" w:hAnsi="Calibri"/>
                <w:b/>
                <w:bCs/>
                <w:i w:val="false"/>
                <w:iCs w:val="false"/>
                <w:color w:val="0064F0"/>
                <w:sz w:val="22"/>
                <w:szCs w:val="22"/>
              </w:rPr>
              <w:t xml:space="preserve">3</w:t>
            </w:r>
          </w:p>
        </w:tc>
        <w:tc>
          <w:tcPr>
            <w:tcW w:type="dxa" w:w="9180"/>
            <w:tcBorders>
              <w:top w:val="none" w:color="FFFFFF" w:sz="0"/>
              <w:left w:val="none" w:color="FFFFFF" w:sz="0"/>
              <w:bottom w:val="none" w:color="FFFFFF" w:sz="0"/>
              <w:right w:val="none" w:color="FFFFFF" w:sz="0"/>
            </w:tcBorders>
            <w:tcMar>
              <w:top w:type="dxa" w:w="40"/>
              <w:left w:type="dxa" w:w="0"/>
              <w:bottom w:type="dxa" w:w="180"/>
              <w:right w:type="dxa" w:w="0"/>
            </w:tcMar>
          </w:tcPr>
          <w:p>
            <w:pPr>
              <w:spacing w:after="60"/>
            </w:pPr>
            <w:r>
              <w:rPr>
                <w:rFonts w:ascii="Calibri" w:cs="Calibri" w:eastAsia="Calibri" w:hAnsi="Calibri"/>
                <w:b/>
                <w:bCs/>
                <w:i w:val="false"/>
                <w:iCs w:val="false"/>
                <w:color w:val="111823"/>
                <w:sz w:val="21"/>
                <w:szCs w:val="21"/>
              </w:rPr>
              <w:t xml:space="preserve">Identify</w:t>
            </w:r>
          </w:p>
          <w:p>
            <w:pPr>
              <w:spacing w:after="0" w:line="254"/>
            </w:pPr>
            <w:r>
              <w:rPr>
                <w:rFonts w:ascii="Calibri" w:cs="Calibri" w:eastAsia="Calibri" w:hAnsi="Calibri"/>
                <w:b w:val="false"/>
                <w:bCs w:val="false"/>
                <w:i w:val="false"/>
                <w:iCs w:val="false"/>
                <w:color w:val="2B333F"/>
                <w:sz w:val="19"/>
                <w:szCs w:val="19"/>
              </w:rPr>
              <w:t xml:space="preserve">Part C. Work through the eight categories rather than brainstorming. Brainstorming finds the risks you already knew about.</w:t>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560"/>
        <w:gridCol w:w="9180"/>
      </w:tblGrid>
      <w:tr>
        <w:tc>
          <w:tcPr>
            <w:tcW w:type="dxa" w:w="560"/>
            <w:tcBorders>
              <w:top w:val="none" w:color="FFFFFF" w:sz="0"/>
              <w:left w:val="none" w:color="FFFFFF" w:sz="0"/>
              <w:bottom w:val="none" w:color="FFFFFF" w:sz="0"/>
              <w:right w:val="none" w:color="FFFFFF" w:sz="0"/>
            </w:tcBorders>
            <w:tcMar>
              <w:top w:type="dxa" w:w="40"/>
              <w:left w:type="dxa" w:w="0"/>
              <w:bottom w:type="dxa" w:w="40"/>
              <w:right w:type="dxa" w:w="120"/>
            </w:tcMar>
          </w:tcPr>
          <w:p>
            <w:pPr>
              <w:spacing w:after="0"/>
            </w:pPr>
            <w:r>
              <w:rPr>
                <w:rFonts w:ascii="Calibri" w:cs="Calibri" w:eastAsia="Calibri" w:hAnsi="Calibri"/>
                <w:b/>
                <w:bCs/>
                <w:i w:val="false"/>
                <w:iCs w:val="false"/>
                <w:color w:val="0064F0"/>
                <w:sz w:val="22"/>
                <w:szCs w:val="22"/>
              </w:rPr>
              <w:t xml:space="preserve">4</w:t>
            </w:r>
          </w:p>
        </w:tc>
        <w:tc>
          <w:tcPr>
            <w:tcW w:type="dxa" w:w="9180"/>
            <w:tcBorders>
              <w:top w:val="none" w:color="FFFFFF" w:sz="0"/>
              <w:left w:val="none" w:color="FFFFFF" w:sz="0"/>
              <w:bottom w:val="none" w:color="FFFFFF" w:sz="0"/>
              <w:right w:val="none" w:color="FFFFFF" w:sz="0"/>
            </w:tcBorders>
            <w:tcMar>
              <w:top w:type="dxa" w:w="40"/>
              <w:left w:type="dxa" w:w="0"/>
              <w:bottom w:type="dxa" w:w="180"/>
              <w:right w:type="dxa" w:w="0"/>
            </w:tcMar>
          </w:tcPr>
          <w:p>
            <w:pPr>
              <w:spacing w:after="60"/>
            </w:pPr>
            <w:r>
              <w:rPr>
                <w:rFonts w:ascii="Calibri" w:cs="Calibri" w:eastAsia="Calibri" w:hAnsi="Calibri"/>
                <w:b/>
                <w:bCs/>
                <w:i w:val="false"/>
                <w:iCs w:val="false"/>
                <w:color w:val="111823"/>
                <w:sz w:val="21"/>
                <w:szCs w:val="21"/>
              </w:rPr>
              <w:t xml:space="preserve">Analyse and evaluate</w:t>
            </w:r>
          </w:p>
          <w:p>
            <w:pPr>
              <w:spacing w:after="0" w:line="254"/>
            </w:pPr>
            <w:r>
              <w:rPr>
                <w:rFonts w:ascii="Calibri" w:cs="Calibri" w:eastAsia="Calibri" w:hAnsi="Calibri"/>
                <w:b w:val="false"/>
                <w:bCs w:val="false"/>
                <w:i w:val="false"/>
                <w:iCs w:val="false"/>
                <w:color w:val="2B333F"/>
                <w:sz w:val="19"/>
                <w:szCs w:val="19"/>
              </w:rPr>
              <w:t xml:space="preserve">Part D. Rate likelihood and consequence, then compare the result against the criteria you set in Part A. Record inherent and residual risk separately.</w:t>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560"/>
        <w:gridCol w:w="9180"/>
      </w:tblGrid>
      <w:tr>
        <w:tc>
          <w:tcPr>
            <w:tcW w:type="dxa" w:w="560"/>
            <w:tcBorders>
              <w:top w:val="none" w:color="FFFFFF" w:sz="0"/>
              <w:left w:val="none" w:color="FFFFFF" w:sz="0"/>
              <w:bottom w:val="none" w:color="FFFFFF" w:sz="0"/>
              <w:right w:val="none" w:color="FFFFFF" w:sz="0"/>
            </w:tcBorders>
            <w:tcMar>
              <w:top w:type="dxa" w:w="40"/>
              <w:left w:type="dxa" w:w="0"/>
              <w:bottom w:type="dxa" w:w="40"/>
              <w:right w:type="dxa" w:w="120"/>
            </w:tcMar>
          </w:tcPr>
          <w:p>
            <w:pPr>
              <w:spacing w:after="0"/>
            </w:pPr>
            <w:r>
              <w:rPr>
                <w:rFonts w:ascii="Calibri" w:cs="Calibri" w:eastAsia="Calibri" w:hAnsi="Calibri"/>
                <w:b/>
                <w:bCs/>
                <w:i w:val="false"/>
                <w:iCs w:val="false"/>
                <w:color w:val="0064F0"/>
                <w:sz w:val="22"/>
                <w:szCs w:val="22"/>
              </w:rPr>
              <w:t xml:space="preserve">5</w:t>
            </w:r>
          </w:p>
        </w:tc>
        <w:tc>
          <w:tcPr>
            <w:tcW w:type="dxa" w:w="9180"/>
            <w:tcBorders>
              <w:top w:val="none" w:color="FFFFFF" w:sz="0"/>
              <w:left w:val="none" w:color="FFFFFF" w:sz="0"/>
              <w:bottom w:val="none" w:color="FFFFFF" w:sz="0"/>
              <w:right w:val="none" w:color="FFFFFF" w:sz="0"/>
            </w:tcBorders>
            <w:tcMar>
              <w:top w:type="dxa" w:w="40"/>
              <w:left w:type="dxa" w:w="0"/>
              <w:bottom w:type="dxa" w:w="180"/>
              <w:right w:type="dxa" w:w="0"/>
            </w:tcMar>
          </w:tcPr>
          <w:p>
            <w:pPr>
              <w:spacing w:after="60"/>
            </w:pPr>
            <w:r>
              <w:rPr>
                <w:rFonts w:ascii="Calibri" w:cs="Calibri" w:eastAsia="Calibri" w:hAnsi="Calibri"/>
                <w:b/>
                <w:bCs/>
                <w:i w:val="false"/>
                <w:iCs w:val="false"/>
                <w:color w:val="111823"/>
                <w:sz w:val="21"/>
                <w:szCs w:val="21"/>
              </w:rPr>
              <w:t xml:space="preserve">Treat</w:t>
            </w:r>
          </w:p>
          <w:p>
            <w:pPr>
              <w:spacing w:after="0" w:line="254"/>
            </w:pPr>
            <w:r>
              <w:rPr>
                <w:rFonts w:ascii="Calibri" w:cs="Calibri" w:eastAsia="Calibri" w:hAnsi="Calibri"/>
                <w:b w:val="false"/>
                <w:bCs w:val="false"/>
                <w:i w:val="false"/>
                <w:iCs w:val="false"/>
                <w:color w:val="2B333F"/>
                <w:sz w:val="19"/>
                <w:szCs w:val="19"/>
              </w:rPr>
              <w:t xml:space="preserve">Part E. Four options and only four: avoid, mitigate, transfer, accept. Every accepted risk needs a named person accepting it.</w:t>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560"/>
        <w:gridCol w:w="9180"/>
      </w:tblGrid>
      <w:tr>
        <w:tc>
          <w:tcPr>
            <w:tcW w:type="dxa" w:w="560"/>
            <w:tcBorders>
              <w:top w:val="none" w:color="FFFFFF" w:sz="0"/>
              <w:left w:val="none" w:color="FFFFFF" w:sz="0"/>
              <w:bottom w:val="none" w:color="FFFFFF" w:sz="0"/>
              <w:right w:val="none" w:color="FFFFFF" w:sz="0"/>
            </w:tcBorders>
            <w:tcMar>
              <w:top w:type="dxa" w:w="40"/>
              <w:left w:type="dxa" w:w="0"/>
              <w:bottom w:type="dxa" w:w="40"/>
              <w:right w:type="dxa" w:w="120"/>
            </w:tcMar>
          </w:tcPr>
          <w:p>
            <w:pPr>
              <w:spacing w:after="0"/>
            </w:pPr>
            <w:r>
              <w:rPr>
                <w:rFonts w:ascii="Calibri" w:cs="Calibri" w:eastAsia="Calibri" w:hAnsi="Calibri"/>
                <w:b/>
                <w:bCs/>
                <w:i w:val="false"/>
                <w:iCs w:val="false"/>
                <w:color w:val="0064F0"/>
                <w:sz w:val="22"/>
                <w:szCs w:val="22"/>
              </w:rPr>
              <w:t xml:space="preserve">6</w:t>
            </w:r>
          </w:p>
        </w:tc>
        <w:tc>
          <w:tcPr>
            <w:tcW w:type="dxa" w:w="9180"/>
            <w:tcBorders>
              <w:top w:val="none" w:color="FFFFFF" w:sz="0"/>
              <w:left w:val="none" w:color="FFFFFF" w:sz="0"/>
              <w:bottom w:val="none" w:color="FFFFFF" w:sz="0"/>
              <w:right w:val="none" w:color="FFFFFF" w:sz="0"/>
            </w:tcBorders>
            <w:tcMar>
              <w:top w:type="dxa" w:w="40"/>
              <w:left w:type="dxa" w:w="0"/>
              <w:bottom w:type="dxa" w:w="180"/>
              <w:right w:type="dxa" w:w="0"/>
            </w:tcMar>
          </w:tcPr>
          <w:p>
            <w:pPr>
              <w:spacing w:after="60"/>
            </w:pPr>
            <w:r>
              <w:rPr>
                <w:rFonts w:ascii="Calibri" w:cs="Calibri" w:eastAsia="Calibri" w:hAnsi="Calibri"/>
                <w:b/>
                <w:bCs/>
                <w:i w:val="false"/>
                <w:iCs w:val="false"/>
                <w:color w:val="111823"/>
                <w:sz w:val="21"/>
                <w:szCs w:val="21"/>
              </w:rPr>
              <w:t xml:space="preserve">Monitor, review and record</w:t>
            </w:r>
          </w:p>
          <w:p>
            <w:pPr>
              <w:spacing w:after="0" w:line="254"/>
            </w:pPr>
            <w:r>
              <w:rPr>
                <w:rFonts w:ascii="Calibri" w:cs="Calibri" w:eastAsia="Calibri" w:hAnsi="Calibri"/>
                <w:b w:val="false"/>
                <w:bCs w:val="false"/>
                <w:i w:val="false"/>
                <w:iCs w:val="false"/>
                <w:color w:val="2B333F"/>
                <w:sz w:val="19"/>
                <w:szCs w:val="19"/>
              </w:rPr>
              <w:t xml:space="preserve">Part F. Set the review date before you finish. The Commonwealth benchmark for high risk use cases is review at least every 12 months.</w:t>
            </w:r>
          </w:p>
        </w:tc>
      </w:tr>
    </w:tbl>
    <w:p>
      <w:pPr>
        <w:spacing w:after="8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single" w:color="0064F0" w:sz="18"/>
              <w:bottom w:val="none" w:color="FFFFFF" w:sz="0"/>
              <w:right w:val="none" w:color="FFFFFF" w:sz="0"/>
            </w:tcBorders>
            <w:shd w:fill="EFF6FF" w:color="auto" w:val="clear"/>
            <w:tcMar>
              <w:top w:type="dxa" w:w="170"/>
              <w:left w:type="dxa" w:w="200"/>
              <w:bottom w:type="dxa" w:w="170"/>
              <w:right w:type="dxa" w:w="200"/>
            </w:tcMar>
          </w:tcPr>
          <w:p>
            <w:pPr>
              <w:spacing w:after="90"/>
            </w:pPr>
            <w:r>
              <w:rPr>
                <w:rFonts w:ascii="Calibri" w:cs="Calibri" w:eastAsia="Calibri" w:hAnsi="Calibri"/>
                <w:b/>
                <w:bCs/>
                <w:color w:val="0064F0"/>
                <w:spacing w:val="26"/>
                <w:sz w:val="15"/>
                <w:szCs w:val="15"/>
              </w:rPr>
              <w:t xml:space="preserve">ONE USE CASE PER COPY</w:t>
            </w:r>
          </w:p>
          <w:p>
            <w:pPr>
              <w:spacing w:after="0" w:line="254"/>
            </w:pPr>
            <w:r>
              <w:rPr>
                <w:rFonts w:ascii="Calibri" w:cs="Calibri" w:eastAsia="Calibri" w:hAnsi="Calibri"/>
                <w:b w:val="false"/>
                <w:bCs w:val="false"/>
                <w:i w:val="false"/>
                <w:iCs w:val="false"/>
                <w:color w:val="2B333F"/>
                <w:sz w:val="19"/>
                <w:szCs w:val="19"/>
              </w:rPr>
              <w:t xml:space="preserve">Assess "summarising client meeting notes in Copilot" or "drafting first pass tender responses". Do not assess "AI". A general assessment produces general controls, which is another way of saying no controls at all.</w:t>
            </w:r>
          </w:p>
        </w:tc>
      </w:tr>
    </w:tbl>
    <w:p>
      <w:pPr>
        <w:spacing w:after="8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single" w:color="F0C267" w:sz="18"/>
              <w:bottom w:val="none" w:color="FFFFFF" w:sz="0"/>
              <w:right w:val="none" w:color="FFFFFF" w:sz="0"/>
            </w:tcBorders>
            <w:shd w:fill="FFF9EC" w:color="auto" w:val="clear"/>
            <w:tcMar>
              <w:top w:type="dxa" w:w="170"/>
              <w:left w:type="dxa" w:w="200"/>
              <w:bottom w:type="dxa" w:w="170"/>
              <w:right w:type="dxa" w:w="200"/>
            </w:tcMar>
          </w:tcPr>
          <w:p>
            <w:pPr>
              <w:spacing w:after="90"/>
            </w:pPr>
            <w:r>
              <w:rPr>
                <w:rFonts w:ascii="Calibri" w:cs="Calibri" w:eastAsia="Calibri" w:hAnsi="Calibri"/>
                <w:b/>
                <w:bCs/>
                <w:color w:val="8A5300"/>
                <w:spacing w:val="26"/>
                <w:sz w:val="15"/>
                <w:szCs w:val="15"/>
              </w:rPr>
              <w:t xml:space="preserve">THE TEST OF A REAL ASSESSMENT</w:t>
            </w:r>
          </w:p>
          <w:p>
            <w:pPr>
              <w:spacing w:after="0" w:line="254"/>
            </w:pPr>
            <w:r>
              <w:rPr>
                <w:rFonts w:ascii="Calibri" w:cs="Calibri" w:eastAsia="Calibri" w:hAnsi="Calibri"/>
                <w:b w:val="false"/>
                <w:bCs w:val="false"/>
                <w:i w:val="false"/>
                <w:iCs w:val="false"/>
                <w:color w:val="2B333F"/>
                <w:sz w:val="19"/>
                <w:szCs w:val="19"/>
              </w:rPr>
              <w:t xml:space="preserve">It has to be able to return the answer "not here". If the outcome was decided before you started, this is a procurement exercise wearing a risk assessment’s clothes, and it will not survive contact with an auditor or an incident.</w:t>
            </w:r>
          </w:p>
        </w:tc>
      </w:tr>
    </w:tbl>
    <w:p>
      <w:r>
        <w:br w:type="page"/>
      </w:r>
    </w:p>
    <w:p>
      <w:pPr>
        <w:keepNext/>
        <w:spacing w:after="70"/>
      </w:pPr>
      <w:r>
        <w:rPr>
          <w:rFonts w:ascii="Calibri" w:cs="Calibri" w:eastAsia="Calibri" w:hAnsi="Calibri"/>
          <w:b/>
          <w:bCs/>
          <w:color w:val="0064F0"/>
          <w:spacing w:val="30"/>
          <w:sz w:val="15"/>
          <w:szCs w:val="15"/>
        </w:rPr>
        <w:t xml:space="preserve">PART A  ·  SCOPE, CONTEXT AND CRITERIA</w:t>
      </w:r>
    </w:p>
    <w:p>
      <w:pPr>
        <w:keepNext/>
        <w:spacing w:after="140" w:before="0"/>
      </w:pPr>
      <w:r>
        <w:rPr>
          <w:rFonts w:ascii="Calibri" w:cs="Calibri" w:eastAsia="Calibri" w:hAnsi="Calibri"/>
          <w:b/>
          <w:bCs/>
          <w:i w:val="false"/>
          <w:iCs w:val="false"/>
          <w:color w:val="111823"/>
          <w:sz w:val="30"/>
          <w:szCs w:val="30"/>
        </w:rPr>
        <w:t xml:space="preserve">Define the use case</w:t>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4870"/>
        <w:gridCol w:w="4870"/>
      </w:tblGrid>
      <w:tr>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80"/>
            </w:pPr>
            <w:r>
              <w:rPr>
                <w:rFonts w:ascii="Calibri" w:cs="Calibri" w:eastAsia="Calibri" w:hAnsi="Calibri"/>
                <w:b/>
                <w:bCs/>
                <w:i w:val="false"/>
                <w:iCs w:val="false"/>
                <w:color w:val="111823"/>
                <w:sz w:val="19"/>
                <w:szCs w:val="19"/>
              </w:rPr>
              <w:t xml:space="preserve">Use case name</w:t>
            </w:r>
          </w:p>
          <w:p>
            <w:pPr>
              <w:pBdr>
                <w:bottom w:val="single" w:color="E3E8EF" w:sz="4"/>
              </w:pBdr>
              <w:spacing w:after="0" w:before="300"/>
            </w:pPr>
            <w:r>
              <w:rPr>
                <w:sz w:val="18"/>
                <w:szCs w:val="18"/>
              </w:rPr>
              <w:t xml:space="preserve"/>
            </w:r>
          </w:p>
        </w:tc>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80"/>
            </w:pPr>
            <w:r>
              <w:rPr>
                <w:rFonts w:ascii="Calibri" w:cs="Calibri" w:eastAsia="Calibri" w:hAnsi="Calibri"/>
                <w:b/>
                <w:bCs/>
                <w:i w:val="false"/>
                <w:iCs w:val="false"/>
                <w:color w:val="111823"/>
                <w:sz w:val="19"/>
                <w:szCs w:val="19"/>
              </w:rPr>
              <w:t xml:space="preserve">Assessment date</w:t>
            </w:r>
          </w:p>
          <w:p>
            <w:pPr>
              <w:pBdr>
                <w:bottom w:val="single" w:color="E3E8EF" w:sz="4"/>
              </w:pBdr>
              <w:spacing w:after="0" w:before="300"/>
            </w:pPr>
            <w:r>
              <w:rPr>
                <w:sz w:val="18"/>
                <w:szCs w:val="18"/>
              </w:rPr>
              <w:t xml:space="preserve"/>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40"/>
            </w:pPr>
            <w:r>
              <w:rPr>
                <w:rFonts w:ascii="Calibri" w:cs="Calibri" w:eastAsia="Calibri" w:hAnsi="Calibri"/>
                <w:b/>
                <w:bCs/>
                <w:i w:val="false"/>
                <w:iCs w:val="false"/>
                <w:color w:val="111823"/>
                <w:sz w:val="19"/>
                <w:szCs w:val="19"/>
              </w:rPr>
              <w:t xml:space="preserve">What task does it do, in one sentence?</w:t>
            </w:r>
          </w:p>
          <w:p>
            <w:pPr>
              <w:keepNext/>
              <w:spacing w:after="80"/>
            </w:pPr>
            <w:r>
              <w:rPr>
                <w:rFonts w:ascii="Calibri" w:cs="Calibri" w:eastAsia="Calibri" w:hAnsi="Calibri"/>
                <w:b w:val="false"/>
                <w:bCs w:val="false"/>
                <w:i/>
                <w:iCs/>
                <w:color w:val="6B7280"/>
                <w:sz w:val="16"/>
                <w:szCs w:val="16"/>
              </w:rPr>
              <w:t xml:space="preserve">A person could read this and know exactly what is being assessed.</w:t>
            </w:r>
          </w:p>
          <w:p>
            <w:pPr>
              <w:pBdr>
                <w:bottom w:val="single" w:color="E3E8EF" w:sz="4"/>
              </w:pBdr>
              <w:spacing w:after="0" w:before="300"/>
            </w:pPr>
            <w:r>
              <w:rPr>
                <w:sz w:val="18"/>
                <w:szCs w:val="18"/>
              </w:rPr>
              <w:t xml:space="preserve"/>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4870"/>
        <w:gridCol w:w="4870"/>
      </w:tblGrid>
      <w:tr>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80"/>
            </w:pPr>
            <w:r>
              <w:rPr>
                <w:rFonts w:ascii="Calibri" w:cs="Calibri" w:eastAsia="Calibri" w:hAnsi="Calibri"/>
                <w:b/>
                <w:bCs/>
                <w:i w:val="false"/>
                <w:iCs w:val="false"/>
                <w:color w:val="111823"/>
                <w:sz w:val="19"/>
                <w:szCs w:val="19"/>
              </w:rPr>
              <w:t xml:space="preserve">Tool, vendor and model</w:t>
            </w:r>
          </w:p>
          <w:p>
            <w:pPr>
              <w:pBdr>
                <w:bottom w:val="single" w:color="E3E8EF" w:sz="4"/>
              </w:pBdr>
              <w:spacing w:after="0" w:before="300"/>
            </w:pPr>
            <w:r>
              <w:rPr>
                <w:sz w:val="18"/>
                <w:szCs w:val="18"/>
              </w:rPr>
              <w:t xml:space="preserve"/>
            </w:r>
          </w:p>
        </w:tc>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80"/>
            </w:pPr>
            <w:r>
              <w:rPr>
                <w:rFonts w:ascii="Calibri" w:cs="Calibri" w:eastAsia="Calibri" w:hAnsi="Calibri"/>
                <w:b/>
                <w:bCs/>
                <w:i w:val="false"/>
                <w:iCs w:val="false"/>
                <w:color w:val="111823"/>
                <w:sz w:val="19"/>
                <w:szCs w:val="19"/>
              </w:rPr>
              <w:t xml:space="preserve">Who will use it</w:t>
            </w:r>
          </w:p>
          <w:p>
            <w:pPr>
              <w:pBdr>
                <w:bottom w:val="single" w:color="E3E8EF" w:sz="4"/>
              </w:pBdr>
              <w:spacing w:after="0" w:before="300"/>
            </w:pPr>
            <w:r>
              <w:rPr>
                <w:sz w:val="18"/>
                <w:szCs w:val="18"/>
              </w:rPr>
              <w:t xml:space="preserve"/>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40"/>
            </w:pPr>
            <w:r>
              <w:rPr>
                <w:rFonts w:ascii="Calibri" w:cs="Calibri" w:eastAsia="Calibri" w:hAnsi="Calibri"/>
                <w:b/>
                <w:bCs/>
                <w:i w:val="false"/>
                <w:iCs w:val="false"/>
                <w:color w:val="111823"/>
                <w:sz w:val="19"/>
                <w:szCs w:val="19"/>
              </w:rPr>
              <w:t xml:space="preserve">What data goes in?</w:t>
            </w:r>
          </w:p>
          <w:p>
            <w:pPr>
              <w:keepNext/>
              <w:spacing w:after="80"/>
            </w:pPr>
            <w:r>
              <w:rPr>
                <w:rFonts w:ascii="Calibri" w:cs="Calibri" w:eastAsia="Calibri" w:hAnsi="Calibri"/>
                <w:b w:val="false"/>
                <w:bCs w:val="false"/>
                <w:i/>
                <w:iCs/>
                <w:color w:val="6B7280"/>
                <w:sz w:val="16"/>
                <w:szCs w:val="16"/>
              </w:rPr>
              <w:t xml:space="preserve">List the classes. Personal information, client records, financial, contractual, health, classified.</w:t>
            </w:r>
          </w:p>
          <w:p>
            <w:pPr>
              <w:pBdr>
                <w:bottom w:val="single" w:color="E3E8EF" w:sz="4"/>
              </w:pBdr>
              <w:spacing w:after="0" w:before="300"/>
            </w:pPr>
            <w:r>
              <w:rPr>
                <w:sz w:val="18"/>
                <w:szCs w:val="18"/>
              </w:rPr>
              <w:t xml:space="preserve"/>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4870"/>
        <w:gridCol w:w="4870"/>
      </w:tblGrid>
      <w:tr>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40"/>
            </w:pPr>
            <w:r>
              <w:rPr>
                <w:rFonts w:ascii="Calibri" w:cs="Calibri" w:eastAsia="Calibri" w:hAnsi="Calibri"/>
                <w:b/>
                <w:bCs/>
                <w:i w:val="false"/>
                <w:iCs w:val="false"/>
                <w:color w:val="111823"/>
                <w:sz w:val="19"/>
                <w:szCs w:val="19"/>
              </w:rPr>
              <w:t xml:space="preserve">Where is it processed and stored?</w:t>
            </w:r>
          </w:p>
          <w:p>
            <w:pPr>
              <w:keepNext/>
              <w:spacing w:after="80"/>
            </w:pPr>
            <w:r>
              <w:rPr>
                <w:rFonts w:ascii="Calibri" w:cs="Calibri" w:eastAsia="Calibri" w:hAnsi="Calibri"/>
                <w:b w:val="false"/>
                <w:bCs w:val="false"/>
                <w:i/>
                <w:iCs/>
                <w:color w:val="6B7280"/>
                <w:sz w:val="16"/>
                <w:szCs w:val="16"/>
              </w:rPr>
              <w:t xml:space="preserve">Country, and which sub-processors.</w:t>
            </w:r>
          </w:p>
          <w:p>
            <w:pPr>
              <w:pBdr>
                <w:bottom w:val="single" w:color="E3E8EF" w:sz="4"/>
              </w:pBdr>
              <w:spacing w:after="0" w:before="300"/>
            </w:pPr>
            <w:r>
              <w:rPr>
                <w:sz w:val="18"/>
                <w:szCs w:val="18"/>
              </w:rPr>
              <w:t xml:space="preserve"/>
            </w:r>
          </w:p>
        </w:tc>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40"/>
            </w:pPr>
            <w:r>
              <w:rPr>
                <w:rFonts w:ascii="Calibri" w:cs="Calibri" w:eastAsia="Calibri" w:hAnsi="Calibri"/>
                <w:b/>
                <w:bCs/>
                <w:i w:val="false"/>
                <w:iCs w:val="false"/>
                <w:color w:val="111823"/>
                <w:sz w:val="19"/>
                <w:szCs w:val="19"/>
              </w:rPr>
              <w:t xml:space="preserve">Is training on your inputs disabled?</w:t>
            </w:r>
          </w:p>
          <w:p>
            <w:pPr>
              <w:keepNext/>
              <w:spacing w:after="80"/>
            </w:pPr>
            <w:r>
              <w:rPr>
                <w:rFonts w:ascii="Calibri" w:cs="Calibri" w:eastAsia="Calibri" w:hAnsi="Calibri"/>
                <w:b w:val="false"/>
                <w:bCs w:val="false"/>
                <w:i/>
                <w:iCs/>
                <w:color w:val="6B7280"/>
                <w:sz w:val="16"/>
                <w:szCs w:val="16"/>
              </w:rPr>
              <w:t xml:space="preserve">Name the contract clause, not the marketing page.</w:t>
            </w:r>
          </w:p>
          <w:p>
            <w:pPr>
              <w:pBdr>
                <w:bottom w:val="single" w:color="E3E8EF" w:sz="4"/>
              </w:pBdr>
              <w:spacing w:after="0" w:before="300"/>
            </w:pPr>
            <w:r>
              <w:rPr>
                <w:sz w:val="18"/>
                <w:szCs w:val="18"/>
              </w:rPr>
              <w:t xml:space="preserve"/>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80"/>
            </w:pPr>
            <w:r>
              <w:rPr>
                <w:rFonts w:ascii="Calibri" w:cs="Calibri" w:eastAsia="Calibri" w:hAnsi="Calibri"/>
                <w:b/>
                <w:bCs/>
                <w:i w:val="false"/>
                <w:iCs w:val="false"/>
                <w:color w:val="111823"/>
                <w:sz w:val="19"/>
                <w:szCs w:val="19"/>
              </w:rPr>
              <w:t xml:space="preserve">What decision or output does it influence, and who is affected by it?</w:t>
            </w:r>
          </w:p>
          <w:p>
            <w:pPr>
              <w:pBdr>
                <w:bottom w:val="single" w:color="E3E8EF" w:sz="4"/>
              </w:pBdr>
              <w:spacing w:after="0" w:before="300"/>
            </w:pPr>
            <w:r>
              <w:rPr>
                <w:sz w:val="18"/>
                <w:szCs w:val="18"/>
              </w:rPr>
              <w:t xml:space="preserve"/>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4870"/>
        <w:gridCol w:w="4870"/>
      </w:tblGrid>
      <w:tr>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80"/>
            </w:pPr>
            <w:r>
              <w:rPr>
                <w:rFonts w:ascii="Calibri" w:cs="Calibri" w:eastAsia="Calibri" w:hAnsi="Calibri"/>
                <w:b/>
                <w:bCs/>
                <w:i w:val="false"/>
                <w:iCs w:val="false"/>
                <w:color w:val="111823"/>
                <w:sz w:val="19"/>
                <w:szCs w:val="19"/>
              </w:rPr>
              <w:t xml:space="preserve">Where is the human review point?</w:t>
            </w:r>
          </w:p>
          <w:p>
            <w:pPr>
              <w:pBdr>
                <w:bottom w:val="single" w:color="E3E8EF" w:sz="4"/>
              </w:pBdr>
              <w:spacing w:after="0" w:before="300"/>
            </w:pPr>
            <w:r>
              <w:rPr>
                <w:sz w:val="18"/>
                <w:szCs w:val="18"/>
              </w:rPr>
              <w:t xml:space="preserve"/>
            </w:r>
          </w:p>
        </w:tc>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80"/>
            </w:pPr>
            <w:r>
              <w:rPr>
                <w:rFonts w:ascii="Calibri" w:cs="Calibri" w:eastAsia="Calibri" w:hAnsi="Calibri"/>
                <w:b/>
                <w:bCs/>
                <w:i w:val="false"/>
                <w:iCs w:val="false"/>
                <w:color w:val="111823"/>
                <w:sz w:val="19"/>
                <w:szCs w:val="19"/>
              </w:rPr>
              <w:t xml:space="preserve">Business owner, by name</w:t>
            </w:r>
          </w:p>
          <w:p>
            <w:pPr>
              <w:pBdr>
                <w:bottom w:val="single" w:color="E3E8EF" w:sz="4"/>
              </w:pBdr>
              <w:spacing w:after="0" w:before="300"/>
            </w:pPr>
            <w:r>
              <w:rPr>
                <w:sz w:val="18"/>
                <w:szCs w:val="18"/>
              </w:rPr>
              <w:t xml:space="preserve"/>
            </w:r>
          </w:p>
        </w:tc>
      </w:tr>
    </w:tbl>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4870"/>
        <w:gridCol w:w="4870"/>
      </w:tblGrid>
      <w:tr>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40"/>
            </w:pPr>
            <w:r>
              <w:rPr>
                <w:rFonts w:ascii="Calibri" w:cs="Calibri" w:eastAsia="Calibri" w:hAnsi="Calibri"/>
                <w:b/>
                <w:bCs/>
                <w:i w:val="false"/>
                <w:iCs w:val="false"/>
                <w:color w:val="111823"/>
                <w:sz w:val="19"/>
                <w:szCs w:val="19"/>
              </w:rPr>
              <w:t xml:space="preserve">Does a privacy impact assessment exist?</w:t>
            </w:r>
          </w:p>
          <w:p>
            <w:pPr>
              <w:keepNext/>
              <w:spacing w:after="80"/>
            </w:pPr>
            <w:r>
              <w:rPr>
                <w:rFonts w:ascii="Calibri" w:cs="Calibri" w:eastAsia="Calibri" w:hAnsi="Calibri"/>
                <w:b w:val="false"/>
                <w:bCs w:val="false"/>
                <w:i/>
                <w:iCs/>
                <w:color w:val="6B7280"/>
                <w:sz w:val="16"/>
                <w:szCs w:val="16"/>
              </w:rPr>
              <w:t xml:space="preserve">If personal information is involved and the answer is no, do that first.</w:t>
            </w:r>
          </w:p>
          <w:p>
            <w:pPr>
              <w:pBdr>
                <w:bottom w:val="single" w:color="E3E8EF" w:sz="4"/>
              </w:pBdr>
              <w:spacing w:after="0" w:before="300"/>
            </w:pPr>
            <w:r>
              <w:rPr>
                <w:sz w:val="18"/>
                <w:szCs w:val="18"/>
              </w:rPr>
              <w:t xml:space="preserve"/>
            </w:r>
          </w:p>
        </w:tc>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40"/>
            </w:pPr>
            <w:r>
              <w:rPr>
                <w:rFonts w:ascii="Calibri" w:cs="Calibri" w:eastAsia="Calibri" w:hAnsi="Calibri"/>
                <w:b/>
                <w:bCs/>
                <w:i w:val="false"/>
                <w:iCs w:val="false"/>
                <w:color w:val="111823"/>
                <w:sz w:val="19"/>
                <w:szCs w:val="19"/>
              </w:rPr>
              <w:t xml:space="preserve">Related assessments or references</w:t>
            </w:r>
          </w:p>
          <w:p>
            <w:pPr>
              <w:keepNext/>
              <w:spacing w:after="80"/>
            </w:pPr>
            <w:r>
              <w:rPr>
                <w:rFonts w:ascii="Calibri" w:cs="Calibri" w:eastAsia="Calibri" w:hAnsi="Calibri"/>
                <w:b w:val="false"/>
                <w:bCs w:val="false"/>
                <w:i/>
                <w:iCs/>
                <w:color w:val="6B7280"/>
                <w:sz w:val="16"/>
                <w:szCs w:val="16"/>
              </w:rPr>
              <w:t xml:space="preserve">PIA, security assessment, vendor review, register entry.</w:t>
            </w:r>
          </w:p>
          <w:p>
            <w:pPr>
              <w:pBdr>
                <w:bottom w:val="single" w:color="E3E8EF" w:sz="4"/>
              </w:pBdr>
              <w:spacing w:after="0" w:before="300"/>
            </w:pPr>
            <w:r>
              <w:rPr>
                <w:sz w:val="18"/>
                <w:szCs w:val="18"/>
              </w:rPr>
              <w:t xml:space="preserve"/>
            </w:r>
          </w:p>
        </w:tc>
      </w:tr>
    </w:tbl>
    <w:p>
      <w:pPr>
        <w:spacing w:after="6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single" w:color="0064F0" w:sz="18"/>
              <w:bottom w:val="none" w:color="FFFFFF" w:sz="0"/>
              <w:right w:val="none" w:color="FFFFFF" w:sz="0"/>
            </w:tcBorders>
            <w:shd w:fill="EFF6FF" w:color="auto" w:val="clear"/>
            <w:tcMar>
              <w:top w:type="dxa" w:w="170"/>
              <w:left w:type="dxa" w:w="200"/>
              <w:bottom w:type="dxa" w:w="170"/>
              <w:right w:type="dxa" w:w="200"/>
            </w:tcMar>
          </w:tcPr>
          <w:p>
            <w:pPr>
              <w:spacing w:after="90"/>
            </w:pPr>
            <w:r>
              <w:rPr>
                <w:rFonts w:ascii="Calibri" w:cs="Calibri" w:eastAsia="Calibri" w:hAnsi="Calibri"/>
                <w:b/>
                <w:bCs/>
                <w:color w:val="0064F0"/>
                <w:spacing w:val="26"/>
                <w:sz w:val="15"/>
                <w:szCs w:val="15"/>
              </w:rPr>
              <w:t xml:space="preserve">SET THE CRITERIA NOW, BEFORE YOU LOOK AT THE RISKS</w:t>
            </w:r>
          </w:p>
          <w:p>
            <w:pPr>
              <w:spacing w:after="0" w:line="254"/>
            </w:pPr>
            <w:r>
              <w:rPr>
                <w:rFonts w:ascii="Calibri" w:cs="Calibri" w:eastAsia="Calibri" w:hAnsi="Calibri"/>
                <w:b w:val="false"/>
                <w:bCs w:val="false"/>
                <w:i w:val="false"/>
                <w:iCs w:val="false"/>
                <w:color w:val="2B333F"/>
                <w:sz w:val="19"/>
                <w:szCs w:val="19"/>
              </w:rPr>
              <w:t xml:space="preserve">Write down what would count as an unacceptable outcome for this use case, and what level of risk you are willing to carry. Doing this first is what stops the thresholds being reverse engineered from the answer you already want.</w:t>
            </w:r>
          </w:p>
        </w:tc>
      </w:tr>
    </w:tbl>
    <w:p>
      <w:pPr>
        <w:keepNext/>
        <w:spacing w:after="0" w:before="160"/>
      </w:pPr>
      <w:r>
        <w:rPr>
          <w:rFonts w:ascii="Calibri" w:cs="Calibri" w:eastAsia="Calibri" w:hAnsi="Calibri"/>
          <w:b/>
          <w:bCs/>
          <w:i w:val="false"/>
          <w:iCs w:val="false"/>
          <w:color w:val="111823"/>
          <w:sz w:val="19"/>
          <w:szCs w:val="19"/>
        </w:rPr>
        <w:t xml:space="preserve">An unacceptable outcome for this use case would be</w:t>
      </w:r>
    </w:p>
    <w:p>
      <w:pPr>
        <w:keepNext/>
        <w:pBdr>
          <w:bottom w:val="single" w:color="E3E8EF" w:sz="4"/>
        </w:pBdr>
        <w:spacing w:after="0" w:before="220"/>
        <w:ind w:left="0"/>
      </w:pPr>
      <w:r>
        <w:rPr>
          <w:sz w:val="20"/>
          <w:szCs w:val="20"/>
        </w:rPr>
        <w:t xml:space="preserve"/>
      </w:r>
    </w:p>
    <w:p>
      <w:pPr>
        <w:keepNext/>
        <w:pBdr>
          <w:bottom w:val="single" w:color="E3E8F0" w:sz="4"/>
        </w:pBdr>
        <w:spacing w:after="0" w:before="220"/>
        <w:ind w:left="0"/>
      </w:pPr>
      <w:r>
        <w:rPr>
          <w:sz w:val="20"/>
          <w:szCs w:val="20"/>
        </w:rPr>
        <w:t xml:space="preserve"/>
      </w:r>
    </w:p>
    <w:p>
      <w:pPr>
        <w:keepNext w:val="false"/>
        <w:pBdr>
          <w:bottom w:val="single" w:color="E2E8EF" w:sz="4"/>
        </w:pBdr>
        <w:spacing w:after="0" w:before="220"/>
        <w:ind w:left="0"/>
      </w:pPr>
      <w:r>
        <w:rPr>
          <w:sz w:val="20"/>
          <w:szCs w:val="20"/>
        </w:rPr>
        <w:t xml:space="preserve"/>
      </w:r>
    </w:p>
    <w:p>
      <w:pPr>
        <w:keepNext/>
        <w:spacing w:after="0" w:before="160"/>
      </w:pPr>
      <w:r>
        <w:rPr>
          <w:rFonts w:ascii="Calibri" w:cs="Calibri" w:eastAsia="Calibri" w:hAnsi="Calibri"/>
          <w:b/>
          <w:bCs/>
          <w:i w:val="false"/>
          <w:iCs w:val="false"/>
          <w:color w:val="111823"/>
          <w:sz w:val="19"/>
          <w:szCs w:val="19"/>
        </w:rPr>
        <w:t xml:space="preserve">The level of risk we are prepared to carry here is</w:t>
      </w:r>
    </w:p>
    <w:p>
      <w:pPr>
        <w:keepNext/>
        <w:pBdr>
          <w:bottom w:val="single" w:color="E3E8EF" w:sz="4"/>
        </w:pBdr>
        <w:spacing w:after="0" w:before="220"/>
        <w:ind w:left="0"/>
      </w:pPr>
      <w:r>
        <w:rPr>
          <w:sz w:val="20"/>
          <w:szCs w:val="20"/>
        </w:rPr>
        <w:t xml:space="preserve"/>
      </w:r>
    </w:p>
    <w:p>
      <w:pPr>
        <w:keepNext w:val="false"/>
        <w:pBdr>
          <w:bottom w:val="single" w:color="E3E8F0" w:sz="4"/>
        </w:pBdr>
        <w:spacing w:after="0" w:before="220"/>
        <w:ind w:left="0"/>
      </w:pPr>
      <w:r>
        <w:rPr>
          <w:sz w:val="20"/>
          <w:szCs w:val="20"/>
        </w:rPr>
        <w:t xml:space="preserve"/>
      </w:r>
    </w:p>
    <w:p>
      <w:r>
        <w:br w:type="page"/>
      </w:r>
    </w:p>
    <w:p>
      <w:pPr>
        <w:keepNext/>
        <w:spacing w:after="70"/>
      </w:pPr>
      <w:r>
        <w:rPr>
          <w:rFonts w:ascii="Calibri" w:cs="Calibri" w:eastAsia="Calibri" w:hAnsi="Calibri"/>
          <w:b/>
          <w:bCs/>
          <w:color w:val="0064F0"/>
          <w:spacing w:val="30"/>
          <w:sz w:val="15"/>
          <w:szCs w:val="15"/>
        </w:rPr>
        <w:t xml:space="preserve">PART B  ·  SCREENING</w:t>
      </w:r>
    </w:p>
    <w:p>
      <w:pPr>
        <w:keepNext/>
        <w:spacing w:after="140" w:before="0"/>
      </w:pPr>
      <w:r>
        <w:rPr>
          <w:rFonts w:ascii="Calibri" w:cs="Calibri" w:eastAsia="Calibri" w:hAnsi="Calibri"/>
          <w:b/>
          <w:bCs/>
          <w:i w:val="false"/>
          <w:iCs w:val="false"/>
          <w:color w:val="111823"/>
          <w:sz w:val="30"/>
          <w:szCs w:val="30"/>
        </w:rPr>
        <w:t xml:space="preserve">Screen the use case</w:t>
      </w:r>
    </w:p>
    <w:p>
      <w:pPr>
        <w:spacing w:after="200" w:before="0" w:line="264"/>
      </w:pPr>
      <w:r>
        <w:rPr>
          <w:rFonts w:ascii="Calibri" w:cs="Calibri" w:eastAsia="Calibri" w:hAnsi="Calibri"/>
          <w:b w:val="false"/>
          <w:bCs w:val="false"/>
          <w:i w:val="false"/>
          <w:iCs w:val="false"/>
          <w:color w:val="2B333F"/>
          <w:sz w:val="19"/>
          <w:szCs w:val="19"/>
        </w:rPr>
        <w:t xml:space="preserve">Adapted from the National AI Centre’s AI screening tool. A yes does not stop the use case. It sets how deep the rest of this assessment needs to go, and how senior the sign off has to be.</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5900"/>
        <w:gridCol w:w="1280"/>
        <w:gridCol w:w="1280"/>
        <w:gridCol w:w="1280"/>
      </w:tblGrid>
      <w:tr>
        <w:trPr>
          <w:tblHeader/>
        </w:trPr>
        <w:tc>
          <w:tcPr>
            <w:tcW w:type="dxa" w:w="59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Does this use case...</w:t>
            </w:r>
          </w:p>
        </w:tc>
        <w:tc>
          <w:tcPr>
            <w:tcW w:type="dxa" w:w="128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Yes</w:t>
            </w:r>
          </w:p>
        </w:tc>
        <w:tc>
          <w:tcPr>
            <w:tcW w:type="dxa" w:w="128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No</w:t>
            </w:r>
          </w:p>
        </w:tc>
        <w:tc>
          <w:tcPr>
            <w:tcW w:type="dxa" w:w="128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Unsure</w:t>
            </w:r>
          </w:p>
        </w:tc>
      </w:tr>
      <w:tr>
        <w:tc>
          <w:tcPr>
            <w:tcW w:type="dxa" w:w="59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Access personal, confidential or commercially sensitive information?</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59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Act autonomously, or at a scale where a person cannot realistically intervene?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59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Affect people who are vulnerable, or who cannot opt out?</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59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Operate in a regulated area, or one with a professional duty attached?</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59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Produce harm that would be hard or slow to reverse?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59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Influence a decision about a person’s rights, entitlements, employment or money?</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59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Get used in a way the vendor’s terms do not clearly permit?</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bl>
    <w:p>
      <w:pPr>
        <w:keepNext/>
        <w:keepLines/>
        <w:spacing w:after="80" w:before="320"/>
      </w:pPr>
      <w:r>
        <w:rPr>
          <w:rFonts w:ascii="Calibri" w:cs="Calibri" w:eastAsia="Calibri" w:hAnsi="Calibri"/>
          <w:b/>
          <w:bCs/>
          <w:i w:val="false"/>
          <w:iCs w:val="false"/>
          <w:color w:val="111823"/>
          <w:sz w:val="21"/>
          <w:szCs w:val="21"/>
        </w:rPr>
        <w:t xml:space="preserve">The prohibited context check</w:t>
      </w:r>
    </w:p>
    <w:p>
      <w:pPr>
        <w:spacing w:after="200" w:before="0" w:line="264"/>
      </w:pPr>
      <w:r>
        <w:rPr>
          <w:rFonts w:ascii="Calibri" w:cs="Calibri" w:eastAsia="Calibri" w:hAnsi="Calibri"/>
          <w:b w:val="false"/>
          <w:bCs w:val="false"/>
          <w:i w:val="false"/>
          <w:iCs w:val="false"/>
          <w:color w:val="2B333F"/>
          <w:sz w:val="19"/>
          <w:szCs w:val="19"/>
        </w:rPr>
        <w:t xml:space="preserve">These are lines already drawn by Australian law, regulators or government policy. A yes in this table means the use case stops, or changes materially, before it proceeds.</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7180"/>
        <w:gridCol w:w="1280"/>
        <w:gridCol w:w="1280"/>
      </w:tblGrid>
      <w:tr>
        <w:trPr>
          <w:tblHeader/>
        </w:trPr>
        <w:tc>
          <w:tcPr>
            <w:tcW w:type="dxa" w:w="718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Would this use case involve...</w:t>
            </w:r>
          </w:p>
        </w:tc>
        <w:tc>
          <w:tcPr>
            <w:tcW w:type="dxa" w:w="128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Yes</w:t>
            </w:r>
          </w:p>
        </w:tc>
        <w:tc>
          <w:tcPr>
            <w:tcW w:type="dxa" w:w="128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No</w:t>
            </w:r>
          </w:p>
        </w:tc>
      </w:tr>
      <w:tr>
        <w:tc>
          <w:tcPr>
            <w:tcW w:type="dxa" w:w="71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Information security classified OFFICIAL: Sensitive or above in a public AI tool</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71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Generating affidavits, witness statements, character references or other material tendered as evidence in NSW courts</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71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Entering patient information into an AI tool without the patient’s informed consent</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71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Software used for a diagnostic or therapeutic purpose, without TGA consideration</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71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A decision affecting a person’s rights or entitlements, with no meaningful human review</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r>
        <w:tc>
          <w:tcPr>
            <w:tcW w:type="dxa" w:w="71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Data your contracts, funding agreements or jurisdiction do not allow to leave the country</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c>
          <w:tcPr>
            <w:tcW w:type="dxa" w:w="128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7A8494"/>
                <w:sz w:val="24"/>
                <w:szCs w:val="24"/>
              </w:rPr>
              <w:t xml:space="preserve">☐</w:t>
            </w:r>
          </w:p>
        </w:tc>
      </w:tr>
    </w:tbl>
    <w:p>
      <w:pPr>
        <w:spacing w:after="10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single" w:color="E9A6A2" w:sz="18"/>
              <w:bottom w:val="none" w:color="FFFFFF" w:sz="0"/>
              <w:right w:val="none" w:color="FFFFFF" w:sz="0"/>
            </w:tcBorders>
            <w:shd w:fill="FDF2F2" w:color="auto" w:val="clear"/>
            <w:tcMar>
              <w:top w:type="dxa" w:w="170"/>
              <w:left w:type="dxa" w:w="200"/>
              <w:bottom w:type="dxa" w:w="170"/>
              <w:right w:type="dxa" w:w="200"/>
            </w:tcMar>
          </w:tcPr>
          <w:p>
            <w:pPr>
              <w:spacing w:after="90"/>
            </w:pPr>
            <w:r>
              <w:rPr>
                <w:rFonts w:ascii="Calibri" w:cs="Calibri" w:eastAsia="Calibri" w:hAnsi="Calibri"/>
                <w:b/>
                <w:bCs/>
                <w:color w:val="8C1D18"/>
                <w:spacing w:val="26"/>
                <w:sz w:val="15"/>
                <w:szCs w:val="15"/>
              </w:rPr>
              <w:t xml:space="preserve">IF ANYTHING ABOVE IS TICKED YES</w:t>
            </w:r>
          </w:p>
          <w:p>
            <w:pPr>
              <w:spacing w:after="120" w:line="254"/>
            </w:pPr>
            <w:r>
              <w:rPr>
                <w:rFonts w:ascii="Calibri" w:cs="Calibri" w:eastAsia="Calibri" w:hAnsi="Calibri"/>
                <w:b w:val="false"/>
                <w:bCs w:val="false"/>
                <w:i w:val="false"/>
                <w:iCs w:val="false"/>
                <w:color w:val="2B333F"/>
                <w:sz w:val="19"/>
                <w:szCs w:val="19"/>
              </w:rPr>
              <w:t xml:space="preserve">Stop. Redesign the use case, find a tool that can meet the constraint, or record a decision not to proceed. Do not carry it forward as a risk to be mitigated later.</w:t>
            </w:r>
          </w:p>
          <w:p>
            <w:pPr>
              <w:spacing w:after="0"/>
            </w:pPr>
            <w:r>
              <w:rPr>
                <w:rFonts w:ascii="Calibri" w:cs="Calibri" w:eastAsia="Calibri" w:hAnsi="Calibri"/>
                <w:b w:val="false"/>
                <w:bCs w:val="false"/>
                <w:i/>
                <w:iCs/>
                <w:color w:val="6B7280"/>
                <w:sz w:val="16"/>
                <w:szCs w:val="16"/>
              </w:rPr>
              <w:t xml:space="preserve">Which one, and what changes as a result</w:t>
            </w:r>
          </w:p>
          <w:p>
            <w:pPr>
              <w:pBdr>
                <w:bottom w:val="single" w:color="E9A6A2" w:sz="4"/>
              </w:pBdr>
              <w:spacing w:after="0" w:before="240"/>
            </w:pPr>
            <w:r>
              <w:rPr>
                <w:sz w:val="18"/>
                <w:szCs w:val="18"/>
              </w:rPr>
              <w:t xml:space="preserve"/>
            </w:r>
          </w:p>
        </w:tc>
      </w:tr>
    </w:tbl>
    <w:p>
      <w:r>
        <w:br w:type="page"/>
      </w:r>
    </w:p>
    <w:p>
      <w:pPr>
        <w:keepNext/>
        <w:spacing w:after="70"/>
      </w:pPr>
      <w:r>
        <w:rPr>
          <w:rFonts w:ascii="Calibri" w:cs="Calibri" w:eastAsia="Calibri" w:hAnsi="Calibri"/>
          <w:b/>
          <w:bCs/>
          <w:color w:val="0064F0"/>
          <w:spacing w:val="30"/>
          <w:sz w:val="15"/>
          <w:szCs w:val="15"/>
        </w:rPr>
        <w:t xml:space="preserve">PART C  ·  IDENTIFY</w:t>
      </w:r>
    </w:p>
    <w:p>
      <w:pPr>
        <w:keepNext/>
        <w:spacing w:after="140" w:before="0"/>
      </w:pPr>
      <w:r>
        <w:rPr>
          <w:rFonts w:ascii="Calibri" w:cs="Calibri" w:eastAsia="Calibri" w:hAnsi="Calibri"/>
          <w:b/>
          <w:bCs/>
          <w:i w:val="false"/>
          <w:iCs w:val="false"/>
          <w:color w:val="111823"/>
          <w:sz w:val="30"/>
          <w:szCs w:val="30"/>
        </w:rPr>
        <w:t xml:space="preserve">Identify the risks</w:t>
      </w:r>
    </w:p>
    <w:p>
      <w:pPr>
        <w:spacing w:after="200" w:before="0" w:line="264"/>
      </w:pPr>
      <w:r>
        <w:rPr>
          <w:rFonts w:ascii="Calibri" w:cs="Calibri" w:eastAsia="Calibri" w:hAnsi="Calibri"/>
          <w:b w:val="false"/>
          <w:bCs w:val="false"/>
          <w:i w:val="false"/>
          <w:iCs w:val="false"/>
          <w:color w:val="2B333F"/>
          <w:sz w:val="19"/>
          <w:szCs w:val="19"/>
        </w:rPr>
        <w:t xml:space="preserve">Work through every category, including the ones that look irrelevant. Write what could actually go wrong for this use case, not the category name again. Rate likelihood and consequence 1 to 5 using the scales in Part D.</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700"/>
        <w:gridCol w:w="2600"/>
        <w:gridCol w:w="4000"/>
        <w:gridCol w:w="800"/>
        <w:gridCol w:w="800"/>
        <w:gridCol w:w="840"/>
      </w:tblGrid>
      <w:tr>
        <w:trPr>
          <w:tblHeader/>
        </w:trPr>
        <w:tc>
          <w:tcPr>
            <w:tcW w:type="dxa" w:w="7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Ref</w:t>
            </w:r>
          </w:p>
        </w:tc>
        <w:tc>
          <w:tcPr>
            <w:tcW w:type="dxa" w:w="26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Category</w:t>
            </w:r>
          </w:p>
        </w:tc>
        <w:tc>
          <w:tcPr>
            <w:tcW w:type="dxa" w:w="40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What could go wrong here</w:t>
            </w:r>
          </w:p>
        </w:tc>
        <w:tc>
          <w:tcPr>
            <w:tcW w:type="dxa" w:w="8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L</w:t>
            </w:r>
          </w:p>
        </w:tc>
        <w:tc>
          <w:tcPr>
            <w:tcW w:type="dxa" w:w="8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C</w:t>
            </w:r>
          </w:p>
        </w:tc>
        <w:tc>
          <w:tcPr>
            <w:tcW w:type="dxa" w:w="84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Rating</w:t>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R1</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Privacy and personal information</w:t>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R2</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Security, prompt injection and data exfiltration</w:t>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R3</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Accuracy, and the cost of a confident wrong answer</w:t>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R4</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Bias and fairness, and who is affected</w:t>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R5</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Supply chain: vendor terms, sub-processors, jurisdiction</w:t>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R6</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Identity and access, OAuth grants, offboarding</w:t>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R7</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Legal and regulatory exposure in your sector</w:t>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R8</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Explainability, and whether a decision can be contested</w:t>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R9</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0064F0"/>
                <w:sz w:val="18"/>
                <w:szCs w:val="18"/>
              </w:rPr>
              <w:t xml:space="preserve">R10</w:t>
            </w:r>
          </w:p>
        </w:tc>
        <w:tc>
          <w:tcPr>
            <w:tcW w:type="dxa" w:w="26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111823"/>
                <w:sz w:val="18"/>
                <w:szCs w:val="18"/>
              </w:rPr>
              <w:t xml:space="preserve"/>
            </w:r>
          </w:p>
        </w:tc>
        <w:tc>
          <w:tcPr>
            <w:tcW w:type="dxa" w:w="40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c>
          <w:tcPr>
            <w:tcW w:type="dxa" w:w="8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jc w:val="center"/>
            </w:pPr>
            <w:r>
              <w:rPr>
                <w:rFonts w:ascii="Calibri" w:cs="Calibri" w:eastAsia="Calibri" w:hAnsi="Calibri"/>
                <w:b w:val="false"/>
                <w:bCs w:val="false"/>
                <w:i w:val="false"/>
                <w:iCs w:val="false"/>
                <w:color w:val="2B333F"/>
                <w:sz w:val="18"/>
                <w:szCs w:val="18"/>
              </w:rPr>
              <w:t xml:space="preserve"/>
            </w:r>
          </w:p>
        </w:tc>
      </w:tr>
    </w:tbl>
    <w:p>
      <w:pPr>
        <w:spacing w:after="12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single" w:color="F0C267" w:sz="18"/>
              <w:bottom w:val="none" w:color="FFFFFF" w:sz="0"/>
              <w:right w:val="none" w:color="FFFFFF" w:sz="0"/>
            </w:tcBorders>
            <w:shd w:fill="FFF9EC" w:color="auto" w:val="clear"/>
            <w:tcMar>
              <w:top w:type="dxa" w:w="170"/>
              <w:left w:type="dxa" w:w="200"/>
              <w:bottom w:type="dxa" w:w="170"/>
              <w:right w:type="dxa" w:w="200"/>
            </w:tcMar>
          </w:tcPr>
          <w:p>
            <w:pPr>
              <w:spacing w:after="90"/>
            </w:pPr>
            <w:r>
              <w:rPr>
                <w:rFonts w:ascii="Calibri" w:cs="Calibri" w:eastAsia="Calibri" w:hAnsi="Calibri"/>
                <w:b/>
                <w:bCs/>
                <w:color w:val="8A5300"/>
                <w:spacing w:val="26"/>
                <w:sz w:val="15"/>
                <w:szCs w:val="15"/>
              </w:rPr>
              <w:t xml:space="preserve">THE CATEGORY MOST OFTEN LEFT BLANK</w:t>
            </w:r>
          </w:p>
          <w:p>
            <w:pPr>
              <w:spacing w:after="0" w:line="254"/>
            </w:pPr>
            <w:r>
              <w:rPr>
                <w:rFonts w:ascii="Calibri" w:cs="Calibri" w:eastAsia="Calibri" w:hAnsi="Calibri"/>
                <w:b w:val="false"/>
                <w:bCs w:val="false"/>
                <w:i w:val="false"/>
                <w:iCs w:val="false"/>
                <w:color w:val="2B333F"/>
                <w:sz w:val="19"/>
                <w:szCs w:val="19"/>
              </w:rPr>
              <w:t xml:space="preserve">R5. Only 21% of Australian organisations assess what their AI vendors claim about their models. Read the terms, name the sub-processors, and check what happens to your inputs. This is the row an auditor will turn to first.</w:t>
            </w:r>
          </w:p>
        </w:tc>
      </w:tr>
    </w:tbl>
    <w:p>
      <w:r>
        <w:br w:type="page"/>
      </w:r>
    </w:p>
    <w:p>
      <w:pPr>
        <w:keepNext/>
        <w:spacing w:after="70"/>
      </w:pPr>
      <w:r>
        <w:rPr>
          <w:rFonts w:ascii="Calibri" w:cs="Calibri" w:eastAsia="Calibri" w:hAnsi="Calibri"/>
          <w:b/>
          <w:bCs/>
          <w:color w:val="0064F0"/>
          <w:spacing w:val="30"/>
          <w:sz w:val="15"/>
          <w:szCs w:val="15"/>
        </w:rPr>
        <w:t xml:space="preserve">PART D  ·  ANALYSE AND EVALUATE</w:t>
      </w:r>
    </w:p>
    <w:p>
      <w:pPr>
        <w:keepNext/>
        <w:spacing w:after="140" w:before="0"/>
      </w:pPr>
      <w:r>
        <w:rPr>
          <w:rFonts w:ascii="Calibri" w:cs="Calibri" w:eastAsia="Calibri" w:hAnsi="Calibri"/>
          <w:b/>
          <w:bCs/>
          <w:i w:val="false"/>
          <w:iCs w:val="false"/>
          <w:color w:val="111823"/>
          <w:sz w:val="30"/>
          <w:szCs w:val="30"/>
        </w:rPr>
        <w:t xml:space="preserve">Rate and tier</w:t>
      </w:r>
    </w:p>
    <w:p>
      <w:pPr>
        <w:keepNext/>
        <w:keepLines/>
        <w:spacing w:after="80" w:before="100"/>
      </w:pPr>
      <w:r>
        <w:rPr>
          <w:rFonts w:ascii="Calibri" w:cs="Calibri" w:eastAsia="Calibri" w:hAnsi="Calibri"/>
          <w:b/>
          <w:bCs/>
          <w:i w:val="false"/>
          <w:iCs w:val="false"/>
          <w:color w:val="111823"/>
          <w:sz w:val="21"/>
          <w:szCs w:val="21"/>
        </w:rPr>
        <w:t xml:space="preserve">Likelihood</w:t>
      </w:r>
    </w:p>
    <w:p>
      <w:pPr>
        <w:spacing w:after="60" w:before="0" w:line="264"/>
        <w:ind w:left="160"/>
      </w:pPr>
      <w:r>
        <w:rPr>
          <w:rFonts w:ascii="Calibri" w:cs="Calibri" w:eastAsia="Calibri" w:hAnsi="Calibri"/>
          <w:b w:val="false"/>
          <w:bCs w:val="false"/>
          <w:i w:val="false"/>
          <w:iCs w:val="false"/>
          <w:color w:val="2B333F"/>
          <w:sz w:val="18"/>
          <w:szCs w:val="18"/>
        </w:rPr>
        <w:t xml:space="preserve">1   Rare. Would surprise everyone involved.</w:t>
      </w:r>
    </w:p>
    <w:p>
      <w:pPr>
        <w:spacing w:after="60" w:before="0" w:line="264"/>
        <w:ind w:left="160"/>
      </w:pPr>
      <w:r>
        <w:rPr>
          <w:rFonts w:ascii="Calibri" w:cs="Calibri" w:eastAsia="Calibri" w:hAnsi="Calibri"/>
          <w:b w:val="false"/>
          <w:bCs w:val="false"/>
          <w:i w:val="false"/>
          <w:iCs w:val="false"/>
          <w:color w:val="2B333F"/>
          <w:sz w:val="18"/>
          <w:szCs w:val="18"/>
        </w:rPr>
        <w:t xml:space="preserve">2   Unlikely, but has happened elsewhere.</w:t>
      </w:r>
    </w:p>
    <w:p>
      <w:pPr>
        <w:spacing w:after="60" w:before="0" w:line="264"/>
        <w:ind w:left="160"/>
      </w:pPr>
      <w:r>
        <w:rPr>
          <w:rFonts w:ascii="Calibri" w:cs="Calibri" w:eastAsia="Calibri" w:hAnsi="Calibri"/>
          <w:b w:val="false"/>
          <w:bCs w:val="false"/>
          <w:i w:val="false"/>
          <w:iCs w:val="false"/>
          <w:color w:val="2B333F"/>
          <w:sz w:val="18"/>
          <w:szCs w:val="18"/>
        </w:rPr>
        <w:t xml:space="preserve">3   Possible within a year of normal use.</w:t>
      </w:r>
    </w:p>
    <w:p>
      <w:pPr>
        <w:spacing w:after="60" w:before="0" w:line="264"/>
        <w:ind w:left="160"/>
      </w:pPr>
      <w:r>
        <w:rPr>
          <w:rFonts w:ascii="Calibri" w:cs="Calibri" w:eastAsia="Calibri" w:hAnsi="Calibri"/>
          <w:b w:val="false"/>
          <w:bCs w:val="false"/>
          <w:i w:val="false"/>
          <w:iCs w:val="false"/>
          <w:color w:val="2B333F"/>
          <w:sz w:val="18"/>
          <w:szCs w:val="18"/>
        </w:rPr>
        <w:t xml:space="preserve">4   Likely. Expect it at some point.</w:t>
      </w:r>
    </w:p>
    <w:p>
      <w:pPr>
        <w:spacing w:after="60" w:before="0" w:line="264"/>
        <w:ind w:left="160"/>
      </w:pPr>
      <w:r>
        <w:rPr>
          <w:rFonts w:ascii="Calibri" w:cs="Calibri" w:eastAsia="Calibri" w:hAnsi="Calibri"/>
          <w:b w:val="false"/>
          <w:bCs w:val="false"/>
          <w:i w:val="false"/>
          <w:iCs w:val="false"/>
          <w:color w:val="2B333F"/>
          <w:sz w:val="18"/>
          <w:szCs w:val="18"/>
        </w:rPr>
        <w:t xml:space="preserve">5   Near certain, or already happening.</w:t>
      </w:r>
    </w:p>
    <w:p>
      <w:pPr>
        <w:keepNext/>
        <w:keepLines/>
        <w:spacing w:after="80" w:before="240"/>
      </w:pPr>
      <w:r>
        <w:rPr>
          <w:rFonts w:ascii="Calibri" w:cs="Calibri" w:eastAsia="Calibri" w:hAnsi="Calibri"/>
          <w:b/>
          <w:bCs/>
          <w:i w:val="false"/>
          <w:iCs w:val="false"/>
          <w:color w:val="111823"/>
          <w:sz w:val="21"/>
          <w:szCs w:val="21"/>
        </w:rPr>
        <w:t xml:space="preserve">Consequence</w:t>
      </w:r>
    </w:p>
    <w:p>
      <w:pPr>
        <w:spacing w:after="60" w:before="0" w:line="264"/>
        <w:ind w:left="160"/>
      </w:pPr>
      <w:r>
        <w:rPr>
          <w:rFonts w:ascii="Calibri" w:cs="Calibri" w:eastAsia="Calibri" w:hAnsi="Calibri"/>
          <w:b w:val="false"/>
          <w:bCs w:val="false"/>
          <w:i w:val="false"/>
          <w:iCs w:val="false"/>
          <w:color w:val="2B333F"/>
          <w:sz w:val="18"/>
          <w:szCs w:val="18"/>
        </w:rPr>
        <w:t xml:space="preserve">1   Negligible. Absorbed in normal work.</w:t>
      </w:r>
    </w:p>
    <w:p>
      <w:pPr>
        <w:spacing w:after="60" w:before="0" w:line="264"/>
        <w:ind w:left="160"/>
      </w:pPr>
      <w:r>
        <w:rPr>
          <w:rFonts w:ascii="Calibri" w:cs="Calibri" w:eastAsia="Calibri" w:hAnsi="Calibri"/>
          <w:b w:val="false"/>
          <w:bCs w:val="false"/>
          <w:i w:val="false"/>
          <w:iCs w:val="false"/>
          <w:color w:val="2B333F"/>
          <w:sz w:val="18"/>
          <w:szCs w:val="18"/>
        </w:rPr>
        <w:t xml:space="preserve">2   Minor. Internal rework, no external effect.</w:t>
      </w:r>
    </w:p>
    <w:p>
      <w:pPr>
        <w:spacing w:after="60" w:before="0" w:line="264"/>
        <w:ind w:left="160"/>
      </w:pPr>
      <w:r>
        <w:rPr>
          <w:rFonts w:ascii="Calibri" w:cs="Calibri" w:eastAsia="Calibri" w:hAnsi="Calibri"/>
          <w:b w:val="false"/>
          <w:bCs w:val="false"/>
          <w:i w:val="false"/>
          <w:iCs w:val="false"/>
          <w:color w:val="2B333F"/>
          <w:sz w:val="18"/>
          <w:szCs w:val="18"/>
        </w:rPr>
        <w:t xml:space="preserve">3   Moderate. A client, a complaint, a bad day.</w:t>
      </w:r>
    </w:p>
    <w:p>
      <w:pPr>
        <w:spacing w:after="60" w:before="0" w:line="264"/>
        <w:ind w:left="160"/>
      </w:pPr>
      <w:r>
        <w:rPr>
          <w:rFonts w:ascii="Calibri" w:cs="Calibri" w:eastAsia="Calibri" w:hAnsi="Calibri"/>
          <w:b w:val="false"/>
          <w:bCs w:val="false"/>
          <w:i w:val="false"/>
          <w:iCs w:val="false"/>
          <w:color w:val="2B333F"/>
          <w:sz w:val="18"/>
          <w:szCs w:val="18"/>
        </w:rPr>
        <w:t xml:space="preserve">4   Major. Notifiable breach, regulator, or real harm.</w:t>
      </w:r>
    </w:p>
    <w:p>
      <w:pPr>
        <w:spacing w:after="60" w:before="0" w:line="264"/>
        <w:ind w:left="160"/>
      </w:pPr>
      <w:r>
        <w:rPr>
          <w:rFonts w:ascii="Calibri" w:cs="Calibri" w:eastAsia="Calibri" w:hAnsi="Calibri"/>
          <w:b w:val="false"/>
          <w:bCs w:val="false"/>
          <w:i w:val="false"/>
          <w:iCs w:val="false"/>
          <w:color w:val="2B333F"/>
          <w:sz w:val="18"/>
          <w:szCs w:val="18"/>
        </w:rPr>
        <w:t xml:space="preserve">5   Severe. Serious harm, or the organisation’s licence to operate.</w:t>
      </w:r>
    </w:p>
    <w:p>
      <w:pPr>
        <w:keepNext/>
        <w:keepLines/>
        <w:spacing w:after="80" w:before="300"/>
      </w:pPr>
      <w:r>
        <w:rPr>
          <w:rFonts w:ascii="Calibri" w:cs="Calibri" w:eastAsia="Calibri" w:hAnsi="Calibri"/>
          <w:b/>
          <w:bCs/>
          <w:i w:val="false"/>
          <w:iCs w:val="false"/>
          <w:color w:val="111823"/>
          <w:sz w:val="21"/>
          <w:szCs w:val="21"/>
        </w:rPr>
        <w:t xml:space="preserve">Rating matrix</w:t>
      </w:r>
    </w:p>
    <w:p>
      <w:pPr>
        <w:spacing w:after="140" w:before="0" w:line="264"/>
      </w:pPr>
      <w:r>
        <w:rPr>
          <w:rFonts w:ascii="Calibri" w:cs="Calibri" w:eastAsia="Calibri" w:hAnsi="Calibri"/>
          <w:b w:val="false"/>
          <w:bCs w:val="false"/>
          <w:i w:val="false"/>
          <w:iCs w:val="false"/>
          <w:color w:val="6B7280"/>
          <w:sz w:val="17"/>
          <w:szCs w:val="17"/>
        </w:rPr>
        <w:t xml:space="preserve">Consequence reads across, likelihood reads down.</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2140"/>
        <w:gridCol w:w="1520"/>
        <w:gridCol w:w="1520"/>
        <w:gridCol w:w="1520"/>
        <w:gridCol w:w="1520"/>
        <w:gridCol w:w="1520"/>
      </w:tblGrid>
      <w:tr>
        <w:trPr>
          <w:tblHeader/>
        </w:trPr>
        <w:tc>
          <w:tcPr>
            <w:tcW w:type="dxa" w:w="214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Likelihood \ Consequence</w:t>
            </w:r>
          </w:p>
        </w:tc>
        <w:tc>
          <w:tcPr>
            <w:tcW w:type="dxa" w:w="152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C1</w:t>
            </w:r>
          </w:p>
        </w:tc>
        <w:tc>
          <w:tcPr>
            <w:tcW w:type="dxa" w:w="152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C2</w:t>
            </w:r>
          </w:p>
        </w:tc>
        <w:tc>
          <w:tcPr>
            <w:tcW w:type="dxa" w:w="152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C3</w:t>
            </w:r>
          </w:p>
        </w:tc>
        <w:tc>
          <w:tcPr>
            <w:tcW w:type="dxa" w:w="152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C4</w:t>
            </w:r>
          </w:p>
        </w:tc>
        <w:tc>
          <w:tcPr>
            <w:tcW w:type="dxa" w:w="152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C5</w:t>
            </w:r>
          </w:p>
        </w:tc>
      </w:tr>
      <w:tr>
        <w:tc>
          <w:tcPr>
            <w:tcW w:type="dxa" w:w="21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6B7280"/>
                <w:sz w:val="18"/>
                <w:szCs w:val="18"/>
              </w:rPr>
              <w:t xml:space="preserve">5  Near certain</w:t>
            </w:r>
          </w:p>
        </w:tc>
        <w:tc>
          <w:tcPr>
            <w:tcW w:type="dxa" w:w="1520"/>
            <w:tcBorders>
              <w:top w:val="single" w:color="FFFFFF" w:sz="8"/>
              <w:left w:val="single" w:color="FFFFFF" w:sz="8"/>
              <w:bottom w:val="single" w:color="FFFFFF" w:sz="8"/>
              <w:right w:val="single" w:color="FFFFFF" w:sz="8"/>
            </w:tcBorders>
            <w:shd w:fill="9CC6F5"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0337D"/>
                <w:sz w:val="16"/>
                <w:szCs w:val="16"/>
              </w:rPr>
              <w:t xml:space="preserve">Medium</w:t>
            </w:r>
          </w:p>
        </w:tc>
        <w:tc>
          <w:tcPr>
            <w:tcW w:type="dxa" w:w="1520"/>
            <w:tcBorders>
              <w:top w:val="single" w:color="FFFFFF" w:sz="8"/>
              <w:left w:val="single" w:color="FFFFFF" w:sz="8"/>
              <w:bottom w:val="single" w:color="FFFFFF" w:sz="8"/>
              <w:right w:val="single" w:color="FFFFFF" w:sz="8"/>
            </w:tcBorders>
            <w:shd w:fill="0064F0"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High</w:t>
            </w:r>
          </w:p>
        </w:tc>
        <w:tc>
          <w:tcPr>
            <w:tcW w:type="dxa" w:w="1520"/>
            <w:tcBorders>
              <w:top w:val="single" w:color="FFFFFF" w:sz="8"/>
              <w:left w:val="single" w:color="FFFFFF" w:sz="8"/>
              <w:bottom w:val="single" w:color="FFFFFF" w:sz="8"/>
              <w:right w:val="single" w:color="FFFFFF" w:sz="8"/>
            </w:tcBorders>
            <w:shd w:fill="0A3FA8"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Very high</w:t>
            </w:r>
          </w:p>
        </w:tc>
        <w:tc>
          <w:tcPr>
            <w:tcW w:type="dxa" w:w="1520"/>
            <w:tcBorders>
              <w:top w:val="single" w:color="FFFFFF" w:sz="8"/>
              <w:left w:val="single" w:color="FFFFFF" w:sz="8"/>
              <w:bottom w:val="single" w:color="FFFFFF" w:sz="8"/>
              <w:right w:val="single" w:color="FFFFFF" w:sz="8"/>
            </w:tcBorders>
            <w:shd w:fill="111823"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Extreme</w:t>
            </w:r>
          </w:p>
        </w:tc>
        <w:tc>
          <w:tcPr>
            <w:tcW w:type="dxa" w:w="1520"/>
            <w:tcBorders>
              <w:top w:val="single" w:color="FFFFFF" w:sz="8"/>
              <w:left w:val="single" w:color="FFFFFF" w:sz="8"/>
              <w:bottom w:val="single" w:color="FFFFFF" w:sz="8"/>
              <w:right w:val="single" w:color="FFFFFF" w:sz="8"/>
            </w:tcBorders>
            <w:shd w:fill="111823"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Extreme</w:t>
            </w:r>
          </w:p>
        </w:tc>
      </w:tr>
      <w:tr>
        <w:tc>
          <w:tcPr>
            <w:tcW w:type="dxa" w:w="21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6B7280"/>
                <w:sz w:val="18"/>
                <w:szCs w:val="18"/>
              </w:rPr>
              <w:t xml:space="preserve">4  Likely</w:t>
            </w:r>
          </w:p>
        </w:tc>
        <w:tc>
          <w:tcPr>
            <w:tcW w:type="dxa" w:w="1520"/>
            <w:tcBorders>
              <w:top w:val="single" w:color="FFFFFF" w:sz="8"/>
              <w:left w:val="single" w:color="FFFFFF" w:sz="8"/>
              <w:bottom w:val="single" w:color="FFFFFF" w:sz="8"/>
              <w:right w:val="single" w:color="FFFFFF" w:sz="8"/>
            </w:tcBorders>
            <w:shd w:fill="DCEAFB"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A3FA8"/>
                <w:sz w:val="16"/>
                <w:szCs w:val="16"/>
              </w:rPr>
              <w:t xml:space="preserve">Low</w:t>
            </w:r>
          </w:p>
        </w:tc>
        <w:tc>
          <w:tcPr>
            <w:tcW w:type="dxa" w:w="1520"/>
            <w:tcBorders>
              <w:top w:val="single" w:color="FFFFFF" w:sz="8"/>
              <w:left w:val="single" w:color="FFFFFF" w:sz="8"/>
              <w:bottom w:val="single" w:color="FFFFFF" w:sz="8"/>
              <w:right w:val="single" w:color="FFFFFF" w:sz="8"/>
            </w:tcBorders>
            <w:shd w:fill="0064F0"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High</w:t>
            </w:r>
          </w:p>
        </w:tc>
        <w:tc>
          <w:tcPr>
            <w:tcW w:type="dxa" w:w="1520"/>
            <w:tcBorders>
              <w:top w:val="single" w:color="FFFFFF" w:sz="8"/>
              <w:left w:val="single" w:color="FFFFFF" w:sz="8"/>
              <w:bottom w:val="single" w:color="FFFFFF" w:sz="8"/>
              <w:right w:val="single" w:color="FFFFFF" w:sz="8"/>
            </w:tcBorders>
            <w:shd w:fill="0064F0"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High</w:t>
            </w:r>
          </w:p>
        </w:tc>
        <w:tc>
          <w:tcPr>
            <w:tcW w:type="dxa" w:w="1520"/>
            <w:tcBorders>
              <w:top w:val="single" w:color="FFFFFF" w:sz="8"/>
              <w:left w:val="single" w:color="FFFFFF" w:sz="8"/>
              <w:bottom w:val="single" w:color="FFFFFF" w:sz="8"/>
              <w:right w:val="single" w:color="FFFFFF" w:sz="8"/>
            </w:tcBorders>
            <w:shd w:fill="0A3FA8"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Very high</w:t>
            </w:r>
          </w:p>
        </w:tc>
        <w:tc>
          <w:tcPr>
            <w:tcW w:type="dxa" w:w="1520"/>
            <w:tcBorders>
              <w:top w:val="single" w:color="FFFFFF" w:sz="8"/>
              <w:left w:val="single" w:color="FFFFFF" w:sz="8"/>
              <w:bottom w:val="single" w:color="FFFFFF" w:sz="8"/>
              <w:right w:val="single" w:color="FFFFFF" w:sz="8"/>
            </w:tcBorders>
            <w:shd w:fill="111823"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Extreme</w:t>
            </w:r>
          </w:p>
        </w:tc>
      </w:tr>
      <w:tr>
        <w:tc>
          <w:tcPr>
            <w:tcW w:type="dxa" w:w="21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6B7280"/>
                <w:sz w:val="18"/>
                <w:szCs w:val="18"/>
              </w:rPr>
              <w:t xml:space="preserve">3  Possible</w:t>
            </w:r>
          </w:p>
        </w:tc>
        <w:tc>
          <w:tcPr>
            <w:tcW w:type="dxa" w:w="1520"/>
            <w:tcBorders>
              <w:top w:val="single" w:color="FFFFFF" w:sz="8"/>
              <w:left w:val="single" w:color="FFFFFF" w:sz="8"/>
              <w:bottom w:val="single" w:color="FFFFFF" w:sz="8"/>
              <w:right w:val="single" w:color="FFFFFF" w:sz="8"/>
            </w:tcBorders>
            <w:shd w:fill="DCEAFB"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A3FA8"/>
                <w:sz w:val="16"/>
                <w:szCs w:val="16"/>
              </w:rPr>
              <w:t xml:space="preserve">Low</w:t>
            </w:r>
          </w:p>
        </w:tc>
        <w:tc>
          <w:tcPr>
            <w:tcW w:type="dxa" w:w="1520"/>
            <w:tcBorders>
              <w:top w:val="single" w:color="FFFFFF" w:sz="8"/>
              <w:left w:val="single" w:color="FFFFFF" w:sz="8"/>
              <w:bottom w:val="single" w:color="FFFFFF" w:sz="8"/>
              <w:right w:val="single" w:color="FFFFFF" w:sz="8"/>
            </w:tcBorders>
            <w:shd w:fill="9CC6F5"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0337D"/>
                <w:sz w:val="16"/>
                <w:szCs w:val="16"/>
              </w:rPr>
              <w:t xml:space="preserve">Medium</w:t>
            </w:r>
          </w:p>
        </w:tc>
        <w:tc>
          <w:tcPr>
            <w:tcW w:type="dxa" w:w="1520"/>
            <w:tcBorders>
              <w:top w:val="single" w:color="FFFFFF" w:sz="8"/>
              <w:left w:val="single" w:color="FFFFFF" w:sz="8"/>
              <w:bottom w:val="single" w:color="FFFFFF" w:sz="8"/>
              <w:right w:val="single" w:color="FFFFFF" w:sz="8"/>
            </w:tcBorders>
            <w:shd w:fill="0064F0"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High</w:t>
            </w:r>
          </w:p>
        </w:tc>
        <w:tc>
          <w:tcPr>
            <w:tcW w:type="dxa" w:w="1520"/>
            <w:tcBorders>
              <w:top w:val="single" w:color="FFFFFF" w:sz="8"/>
              <w:left w:val="single" w:color="FFFFFF" w:sz="8"/>
              <w:bottom w:val="single" w:color="FFFFFF" w:sz="8"/>
              <w:right w:val="single" w:color="FFFFFF" w:sz="8"/>
            </w:tcBorders>
            <w:shd w:fill="0A3FA8"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Very high</w:t>
            </w:r>
          </w:p>
        </w:tc>
        <w:tc>
          <w:tcPr>
            <w:tcW w:type="dxa" w:w="1520"/>
            <w:tcBorders>
              <w:top w:val="single" w:color="FFFFFF" w:sz="8"/>
              <w:left w:val="single" w:color="FFFFFF" w:sz="8"/>
              <w:bottom w:val="single" w:color="FFFFFF" w:sz="8"/>
              <w:right w:val="single" w:color="FFFFFF" w:sz="8"/>
            </w:tcBorders>
            <w:shd w:fill="0A3FA8"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Very high</w:t>
            </w:r>
          </w:p>
        </w:tc>
      </w:tr>
      <w:tr>
        <w:tc>
          <w:tcPr>
            <w:tcW w:type="dxa" w:w="21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6B7280"/>
                <w:sz w:val="18"/>
                <w:szCs w:val="18"/>
              </w:rPr>
              <w:t xml:space="preserve">2  Unlikely</w:t>
            </w:r>
          </w:p>
        </w:tc>
        <w:tc>
          <w:tcPr>
            <w:tcW w:type="dxa" w:w="1520"/>
            <w:tcBorders>
              <w:top w:val="single" w:color="FFFFFF" w:sz="8"/>
              <w:left w:val="single" w:color="FFFFFF" w:sz="8"/>
              <w:bottom w:val="single" w:color="FFFFFF" w:sz="8"/>
              <w:right w:val="single" w:color="FFFFFF" w:sz="8"/>
            </w:tcBorders>
            <w:shd w:fill="DCEAFB"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A3FA8"/>
                <w:sz w:val="16"/>
                <w:szCs w:val="16"/>
              </w:rPr>
              <w:t xml:space="preserve">Low</w:t>
            </w:r>
          </w:p>
        </w:tc>
        <w:tc>
          <w:tcPr>
            <w:tcW w:type="dxa" w:w="1520"/>
            <w:tcBorders>
              <w:top w:val="single" w:color="FFFFFF" w:sz="8"/>
              <w:left w:val="single" w:color="FFFFFF" w:sz="8"/>
              <w:bottom w:val="single" w:color="FFFFFF" w:sz="8"/>
              <w:right w:val="single" w:color="FFFFFF" w:sz="8"/>
            </w:tcBorders>
            <w:shd w:fill="9CC6F5"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0337D"/>
                <w:sz w:val="16"/>
                <w:szCs w:val="16"/>
              </w:rPr>
              <w:t xml:space="preserve">Medium</w:t>
            </w:r>
          </w:p>
        </w:tc>
        <w:tc>
          <w:tcPr>
            <w:tcW w:type="dxa" w:w="1520"/>
            <w:tcBorders>
              <w:top w:val="single" w:color="FFFFFF" w:sz="8"/>
              <w:left w:val="single" w:color="FFFFFF" w:sz="8"/>
              <w:bottom w:val="single" w:color="FFFFFF" w:sz="8"/>
              <w:right w:val="single" w:color="FFFFFF" w:sz="8"/>
            </w:tcBorders>
            <w:shd w:fill="9CC6F5"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0337D"/>
                <w:sz w:val="16"/>
                <w:szCs w:val="16"/>
              </w:rPr>
              <w:t xml:space="preserve">Medium</w:t>
            </w:r>
          </w:p>
        </w:tc>
        <w:tc>
          <w:tcPr>
            <w:tcW w:type="dxa" w:w="1520"/>
            <w:tcBorders>
              <w:top w:val="single" w:color="FFFFFF" w:sz="8"/>
              <w:left w:val="single" w:color="FFFFFF" w:sz="8"/>
              <w:bottom w:val="single" w:color="FFFFFF" w:sz="8"/>
              <w:right w:val="single" w:color="FFFFFF" w:sz="8"/>
            </w:tcBorders>
            <w:shd w:fill="0064F0"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High</w:t>
            </w:r>
          </w:p>
        </w:tc>
        <w:tc>
          <w:tcPr>
            <w:tcW w:type="dxa" w:w="1520"/>
            <w:tcBorders>
              <w:top w:val="single" w:color="FFFFFF" w:sz="8"/>
              <w:left w:val="single" w:color="FFFFFF" w:sz="8"/>
              <w:bottom w:val="single" w:color="FFFFFF" w:sz="8"/>
              <w:right w:val="single" w:color="FFFFFF" w:sz="8"/>
            </w:tcBorders>
            <w:shd w:fill="0A3FA8"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Very high</w:t>
            </w:r>
          </w:p>
        </w:tc>
      </w:tr>
      <w:tr>
        <w:tc>
          <w:tcPr>
            <w:tcW w:type="dxa" w:w="21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bCs/>
                <w:i w:val="false"/>
                <w:iCs w:val="false"/>
                <w:color w:val="6B7280"/>
                <w:sz w:val="18"/>
                <w:szCs w:val="18"/>
              </w:rPr>
              <w:t xml:space="preserve">1  Rare</w:t>
            </w:r>
          </w:p>
        </w:tc>
        <w:tc>
          <w:tcPr>
            <w:tcW w:type="dxa" w:w="1520"/>
            <w:tcBorders>
              <w:top w:val="single" w:color="FFFFFF" w:sz="8"/>
              <w:left w:val="single" w:color="FFFFFF" w:sz="8"/>
              <w:bottom w:val="single" w:color="FFFFFF" w:sz="8"/>
              <w:right w:val="single" w:color="FFFFFF" w:sz="8"/>
            </w:tcBorders>
            <w:shd w:fill="DCEAFB"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A3FA8"/>
                <w:sz w:val="16"/>
                <w:szCs w:val="16"/>
              </w:rPr>
              <w:t xml:space="preserve">Low</w:t>
            </w:r>
          </w:p>
        </w:tc>
        <w:tc>
          <w:tcPr>
            <w:tcW w:type="dxa" w:w="1520"/>
            <w:tcBorders>
              <w:top w:val="single" w:color="FFFFFF" w:sz="8"/>
              <w:left w:val="single" w:color="FFFFFF" w:sz="8"/>
              <w:bottom w:val="single" w:color="FFFFFF" w:sz="8"/>
              <w:right w:val="single" w:color="FFFFFF" w:sz="8"/>
            </w:tcBorders>
            <w:shd w:fill="DCEAFB"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A3FA8"/>
                <w:sz w:val="16"/>
                <w:szCs w:val="16"/>
              </w:rPr>
              <w:t xml:space="preserve">Low</w:t>
            </w:r>
          </w:p>
        </w:tc>
        <w:tc>
          <w:tcPr>
            <w:tcW w:type="dxa" w:w="1520"/>
            <w:tcBorders>
              <w:top w:val="single" w:color="FFFFFF" w:sz="8"/>
              <w:left w:val="single" w:color="FFFFFF" w:sz="8"/>
              <w:bottom w:val="single" w:color="FFFFFF" w:sz="8"/>
              <w:right w:val="single" w:color="FFFFFF" w:sz="8"/>
            </w:tcBorders>
            <w:shd w:fill="9CC6F5"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00337D"/>
                <w:sz w:val="16"/>
                <w:szCs w:val="16"/>
              </w:rPr>
              <w:t xml:space="preserve">Medium</w:t>
            </w:r>
          </w:p>
        </w:tc>
        <w:tc>
          <w:tcPr>
            <w:tcW w:type="dxa" w:w="1520"/>
            <w:tcBorders>
              <w:top w:val="single" w:color="FFFFFF" w:sz="8"/>
              <w:left w:val="single" w:color="FFFFFF" w:sz="8"/>
              <w:bottom w:val="single" w:color="FFFFFF" w:sz="8"/>
              <w:right w:val="single" w:color="FFFFFF" w:sz="8"/>
            </w:tcBorders>
            <w:shd w:fill="0064F0"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High</w:t>
            </w:r>
          </w:p>
        </w:tc>
        <w:tc>
          <w:tcPr>
            <w:tcW w:type="dxa" w:w="1520"/>
            <w:tcBorders>
              <w:top w:val="single" w:color="FFFFFF" w:sz="8"/>
              <w:left w:val="single" w:color="FFFFFF" w:sz="8"/>
              <w:bottom w:val="single" w:color="FFFFFF" w:sz="8"/>
              <w:right w:val="single" w:color="FFFFFF" w:sz="8"/>
            </w:tcBorders>
            <w:shd w:fill="0064F0" w:color="auto" w:val="clear"/>
            <w:tcMar>
              <w:top w:type="dxa" w:w="110"/>
              <w:left w:type="dxa" w:w="80"/>
              <w:bottom w:type="dxa" w:w="110"/>
              <w:right w:type="dxa" w:w="80"/>
            </w:tcMar>
          </w:tcPr>
          <w:p>
            <w:pPr>
              <w:spacing w:after="0"/>
              <w:jc w:val="center"/>
            </w:pPr>
            <w:r>
              <w:rPr>
                <w:rFonts w:ascii="Calibri" w:cs="Calibri" w:eastAsia="Calibri" w:hAnsi="Calibri"/>
                <w:b/>
                <w:bCs/>
                <w:i w:val="false"/>
                <w:iCs w:val="false"/>
                <w:color w:val="FFFFFF"/>
                <w:sz w:val="16"/>
                <w:szCs w:val="16"/>
              </w:rPr>
              <w:t xml:space="preserve">High</w:t>
            </w:r>
          </w:p>
        </w:tc>
      </w:tr>
    </w:tbl>
    <w:p>
      <w:pPr>
        <w:keepNext/>
        <w:keepLines/>
        <w:spacing w:after="80" w:before="320"/>
      </w:pPr>
      <w:r>
        <w:rPr>
          <w:rFonts w:ascii="Calibri" w:cs="Calibri" w:eastAsia="Calibri" w:hAnsi="Calibri"/>
          <w:b/>
          <w:bCs/>
          <w:i w:val="false"/>
          <w:iCs w:val="false"/>
          <w:color w:val="111823"/>
          <w:sz w:val="21"/>
          <w:szCs w:val="21"/>
        </w:rPr>
        <w:t xml:space="preserve">What each tier requires</w:t>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1700"/>
        <w:gridCol w:w="8040"/>
      </w:tblGrid>
      <w:tr>
        <w:tc>
          <w:tcPr>
            <w:tcW w:type="dxa" w:w="1700"/>
            <w:tcBorders>
              <w:top w:val="none" w:color="FFFFFF" w:sz="0"/>
              <w:left w:val="none" w:color="FFFFFF" w:sz="0"/>
              <w:bottom w:val="none" w:color="FFFFFF" w:sz="0"/>
              <w:right w:val="none" w:color="FFFFFF" w:sz="0"/>
            </w:tcBorders>
            <w:shd w:fill="DCEAFB" w:color="auto" w:val="clear"/>
            <w:tcMar>
              <w:top w:type="dxa" w:w="90"/>
              <w:left w:type="dxa" w:w="120"/>
              <w:bottom w:type="dxa" w:w="90"/>
              <w:right w:type="dxa" w:w="120"/>
            </w:tcMar>
          </w:tcPr>
          <w:p>
            <w:pPr>
              <w:spacing w:after="0"/>
              <w:jc w:val="center"/>
            </w:pPr>
            <w:r>
              <w:rPr>
                <w:rFonts w:ascii="Calibri" w:cs="Calibri" w:eastAsia="Calibri" w:hAnsi="Calibri"/>
                <w:b/>
                <w:bCs/>
                <w:i w:val="false"/>
                <w:iCs w:val="false"/>
                <w:color w:val="0A3FA8"/>
                <w:sz w:val="16"/>
                <w:szCs w:val="16"/>
              </w:rPr>
              <w:t xml:space="preserve">LOW</w:t>
            </w:r>
          </w:p>
        </w:tc>
        <w:tc>
          <w:tcPr>
            <w:tcW w:type="dxa" w:w="8040"/>
            <w:tcBorders>
              <w:top w:val="none" w:color="FFFFFF" w:sz="0"/>
              <w:left w:val="none" w:color="FFFFFF" w:sz="0"/>
              <w:bottom w:val="none" w:color="FFFFFF" w:sz="0"/>
              <w:right w:val="none" w:color="FFFFFF" w:sz="0"/>
            </w:tcBorders>
            <w:tcMar>
              <w:top w:type="dxa" w:w="90"/>
              <w:left w:type="dxa" w:w="200"/>
              <w:bottom w:type="dxa" w:w="140"/>
              <w:right w:type="dxa" w:w="0"/>
            </w:tcMar>
          </w:tcPr>
          <w:p>
            <w:pPr>
              <w:spacing w:after="0" w:line="252"/>
            </w:pPr>
            <w:r>
              <w:rPr>
                <w:rFonts w:ascii="Calibri" w:cs="Calibri" w:eastAsia="Calibri" w:hAnsi="Calibri"/>
                <w:b w:val="false"/>
                <w:bCs w:val="false"/>
                <w:i w:val="false"/>
                <w:iCs w:val="false"/>
                <w:color w:val="2B333F"/>
                <w:sz w:val="18"/>
                <w:szCs w:val="18"/>
              </w:rPr>
              <w:t xml:space="preserve">Business owner approves. Record the assessment and move on.</w:t>
            </w:r>
          </w:p>
        </w:tc>
      </w:tr>
      <w:tr>
        <w:tc>
          <w:tcPr>
            <w:tcW w:type="dxa" w:w="1700"/>
            <w:tcBorders>
              <w:top w:val="none" w:color="FFFFFF" w:sz="0"/>
              <w:left w:val="none" w:color="FFFFFF" w:sz="0"/>
              <w:bottom w:val="none" w:color="FFFFFF" w:sz="0"/>
              <w:right w:val="none" w:color="FFFFFF" w:sz="0"/>
            </w:tcBorders>
            <w:shd w:fill="9CC6F5" w:color="auto" w:val="clear"/>
            <w:tcMar>
              <w:top w:type="dxa" w:w="90"/>
              <w:left w:type="dxa" w:w="120"/>
              <w:bottom w:type="dxa" w:w="90"/>
              <w:right w:type="dxa" w:w="120"/>
            </w:tcMar>
          </w:tcPr>
          <w:p>
            <w:pPr>
              <w:spacing w:after="0"/>
              <w:jc w:val="center"/>
            </w:pPr>
            <w:r>
              <w:rPr>
                <w:rFonts w:ascii="Calibri" w:cs="Calibri" w:eastAsia="Calibri" w:hAnsi="Calibri"/>
                <w:b/>
                <w:bCs/>
                <w:i w:val="false"/>
                <w:iCs w:val="false"/>
                <w:color w:val="00337D"/>
                <w:sz w:val="16"/>
                <w:szCs w:val="16"/>
              </w:rPr>
              <w:t xml:space="preserve">MEDIUM</w:t>
            </w:r>
          </w:p>
        </w:tc>
        <w:tc>
          <w:tcPr>
            <w:tcW w:type="dxa" w:w="8040"/>
            <w:tcBorders>
              <w:top w:val="none" w:color="FFFFFF" w:sz="0"/>
              <w:left w:val="none" w:color="FFFFFF" w:sz="0"/>
              <w:bottom w:val="none" w:color="FFFFFF" w:sz="0"/>
              <w:right w:val="none" w:color="FFFFFF" w:sz="0"/>
            </w:tcBorders>
            <w:tcMar>
              <w:top w:type="dxa" w:w="90"/>
              <w:left w:type="dxa" w:w="200"/>
              <w:bottom w:type="dxa" w:w="140"/>
              <w:right w:type="dxa" w:w="0"/>
            </w:tcMar>
          </w:tcPr>
          <w:p>
            <w:pPr>
              <w:spacing w:after="0" w:line="252"/>
            </w:pPr>
            <w:r>
              <w:rPr>
                <w:rFonts w:ascii="Calibri" w:cs="Calibri" w:eastAsia="Calibri" w:hAnsi="Calibri"/>
                <w:b w:val="false"/>
                <w:bCs w:val="false"/>
                <w:i w:val="false"/>
                <w:iCs w:val="false"/>
                <w:color w:val="2B333F"/>
                <w:sz w:val="18"/>
                <w:szCs w:val="18"/>
              </w:rPr>
              <w:t xml:space="preserve">Business owner plus risk. Named controls before go live, review at 12 months.</w:t>
            </w:r>
          </w:p>
        </w:tc>
      </w:tr>
      <w:tr>
        <w:tc>
          <w:tcPr>
            <w:tcW w:type="dxa" w:w="1700"/>
            <w:tcBorders>
              <w:top w:val="none" w:color="FFFFFF" w:sz="0"/>
              <w:left w:val="none" w:color="FFFFFF" w:sz="0"/>
              <w:bottom w:val="none" w:color="FFFFFF" w:sz="0"/>
              <w:right w:val="none" w:color="FFFFFF" w:sz="0"/>
            </w:tcBorders>
            <w:shd w:fill="0064F0" w:color="auto" w:val="clear"/>
            <w:tcMar>
              <w:top w:type="dxa" w:w="90"/>
              <w:left w:type="dxa" w:w="120"/>
              <w:bottom w:type="dxa" w:w="90"/>
              <w:right w:type="dxa" w:w="120"/>
            </w:tcMar>
          </w:tcPr>
          <w:p>
            <w:pPr>
              <w:spacing w:after="0"/>
              <w:jc w:val="center"/>
            </w:pPr>
            <w:r>
              <w:rPr>
                <w:rFonts w:ascii="Calibri" w:cs="Calibri" w:eastAsia="Calibri" w:hAnsi="Calibri"/>
                <w:b/>
                <w:bCs/>
                <w:i w:val="false"/>
                <w:iCs w:val="false"/>
                <w:color w:val="FFFFFF"/>
                <w:sz w:val="16"/>
                <w:szCs w:val="16"/>
              </w:rPr>
              <w:t xml:space="preserve">HIGH</w:t>
            </w:r>
          </w:p>
        </w:tc>
        <w:tc>
          <w:tcPr>
            <w:tcW w:type="dxa" w:w="8040"/>
            <w:tcBorders>
              <w:top w:val="none" w:color="FFFFFF" w:sz="0"/>
              <w:left w:val="none" w:color="FFFFFF" w:sz="0"/>
              <w:bottom w:val="none" w:color="FFFFFF" w:sz="0"/>
              <w:right w:val="none" w:color="FFFFFF" w:sz="0"/>
            </w:tcBorders>
            <w:tcMar>
              <w:top w:type="dxa" w:w="90"/>
              <w:left w:type="dxa" w:w="200"/>
              <w:bottom w:type="dxa" w:w="140"/>
              <w:right w:type="dxa" w:w="0"/>
            </w:tcMar>
          </w:tcPr>
          <w:p>
            <w:pPr>
              <w:spacing w:after="0" w:line="252"/>
            </w:pPr>
            <w:r>
              <w:rPr>
                <w:rFonts w:ascii="Calibri" w:cs="Calibri" w:eastAsia="Calibri" w:hAnsi="Calibri"/>
                <w:b w:val="false"/>
                <w:bCs w:val="false"/>
                <w:i w:val="false"/>
                <w:iCs w:val="false"/>
                <w:color w:val="2B333F"/>
                <w:sz w:val="18"/>
                <w:szCs w:val="18"/>
              </w:rPr>
              <w:t xml:space="preserve">Accountable officer approves. Controls in place and tested first, monitoring defined, review at 12 months or on any material change.</w:t>
            </w:r>
          </w:p>
        </w:tc>
      </w:tr>
      <w:tr>
        <w:tc>
          <w:tcPr>
            <w:tcW w:type="dxa" w:w="1700"/>
            <w:tcBorders>
              <w:top w:val="none" w:color="FFFFFF" w:sz="0"/>
              <w:left w:val="none" w:color="FFFFFF" w:sz="0"/>
              <w:bottom w:val="none" w:color="FFFFFF" w:sz="0"/>
              <w:right w:val="none" w:color="FFFFFF" w:sz="0"/>
            </w:tcBorders>
            <w:shd w:fill="0A3FA8" w:color="auto" w:val="clear"/>
            <w:tcMar>
              <w:top w:type="dxa" w:w="90"/>
              <w:left w:type="dxa" w:w="120"/>
              <w:bottom w:type="dxa" w:w="90"/>
              <w:right w:type="dxa" w:w="120"/>
            </w:tcMar>
          </w:tcPr>
          <w:p>
            <w:pPr>
              <w:spacing w:after="0"/>
              <w:jc w:val="center"/>
            </w:pPr>
            <w:r>
              <w:rPr>
                <w:rFonts w:ascii="Calibri" w:cs="Calibri" w:eastAsia="Calibri" w:hAnsi="Calibri"/>
                <w:b/>
                <w:bCs/>
                <w:i w:val="false"/>
                <w:iCs w:val="false"/>
                <w:color w:val="FFFFFF"/>
                <w:sz w:val="16"/>
                <w:szCs w:val="16"/>
              </w:rPr>
              <w:t xml:space="preserve">VERY HIGH</w:t>
            </w:r>
          </w:p>
        </w:tc>
        <w:tc>
          <w:tcPr>
            <w:tcW w:type="dxa" w:w="8040"/>
            <w:tcBorders>
              <w:top w:val="none" w:color="FFFFFF" w:sz="0"/>
              <w:left w:val="none" w:color="FFFFFF" w:sz="0"/>
              <w:bottom w:val="none" w:color="FFFFFF" w:sz="0"/>
              <w:right w:val="none" w:color="FFFFFF" w:sz="0"/>
            </w:tcBorders>
            <w:tcMar>
              <w:top w:type="dxa" w:w="90"/>
              <w:left w:type="dxa" w:w="200"/>
              <w:bottom w:type="dxa" w:w="140"/>
              <w:right w:type="dxa" w:w="0"/>
            </w:tcMar>
          </w:tcPr>
          <w:p>
            <w:pPr>
              <w:spacing w:after="0" w:line="252"/>
            </w:pPr>
            <w:r>
              <w:rPr>
                <w:rFonts w:ascii="Calibri" w:cs="Calibri" w:eastAsia="Calibri" w:hAnsi="Calibri"/>
                <w:b w:val="false"/>
                <w:bCs w:val="false"/>
                <w:i w:val="false"/>
                <w:iCs w:val="false"/>
                <w:color w:val="2B333F"/>
                <w:sz w:val="18"/>
                <w:szCs w:val="18"/>
              </w:rPr>
              <w:t xml:space="preserve">Executive or board approval, with the residual risk stated in writing and accepted by name.</w:t>
            </w:r>
          </w:p>
        </w:tc>
      </w:tr>
      <w:tr>
        <w:tc>
          <w:tcPr>
            <w:tcW w:type="dxa" w:w="1700"/>
            <w:tcBorders>
              <w:top w:val="none" w:color="FFFFFF" w:sz="0"/>
              <w:left w:val="none" w:color="FFFFFF" w:sz="0"/>
              <w:bottom w:val="none" w:color="FFFFFF" w:sz="0"/>
              <w:right w:val="none" w:color="FFFFFF" w:sz="0"/>
            </w:tcBorders>
            <w:shd w:fill="111823" w:color="auto" w:val="clear"/>
            <w:tcMar>
              <w:top w:type="dxa" w:w="90"/>
              <w:left w:type="dxa" w:w="120"/>
              <w:bottom w:type="dxa" w:w="90"/>
              <w:right w:type="dxa" w:w="120"/>
            </w:tcMar>
          </w:tcPr>
          <w:p>
            <w:pPr>
              <w:spacing w:after="0"/>
              <w:jc w:val="center"/>
            </w:pPr>
            <w:r>
              <w:rPr>
                <w:rFonts w:ascii="Calibri" w:cs="Calibri" w:eastAsia="Calibri" w:hAnsi="Calibri"/>
                <w:b/>
                <w:bCs/>
                <w:i w:val="false"/>
                <w:iCs w:val="false"/>
                <w:color w:val="FFFFFF"/>
                <w:sz w:val="16"/>
                <w:szCs w:val="16"/>
              </w:rPr>
              <w:t xml:space="preserve">EXTREME</w:t>
            </w:r>
          </w:p>
        </w:tc>
        <w:tc>
          <w:tcPr>
            <w:tcW w:type="dxa" w:w="8040"/>
            <w:tcBorders>
              <w:top w:val="none" w:color="FFFFFF" w:sz="0"/>
              <w:left w:val="none" w:color="FFFFFF" w:sz="0"/>
              <w:bottom w:val="none" w:color="FFFFFF" w:sz="0"/>
              <w:right w:val="none" w:color="FFFFFF" w:sz="0"/>
            </w:tcBorders>
            <w:tcMar>
              <w:top w:type="dxa" w:w="90"/>
              <w:left w:type="dxa" w:w="200"/>
              <w:bottom w:type="dxa" w:w="140"/>
              <w:right w:type="dxa" w:w="0"/>
            </w:tcMar>
          </w:tcPr>
          <w:p>
            <w:pPr>
              <w:spacing w:after="0" w:line="252"/>
            </w:pPr>
            <w:r>
              <w:rPr>
                <w:rFonts w:ascii="Calibri" w:cs="Calibri" w:eastAsia="Calibri" w:hAnsi="Calibri"/>
                <w:b w:val="false"/>
                <w:bCs w:val="false"/>
                <w:i w:val="false"/>
                <w:iCs w:val="false"/>
                <w:color w:val="2B333F"/>
                <w:sz w:val="18"/>
                <w:szCs w:val="18"/>
              </w:rPr>
              <w:t xml:space="preserve">Does not proceed in this form. Redesign the use case or record a decision not to proceed.</w:t>
            </w:r>
          </w:p>
        </w:tc>
      </w:tr>
    </w:tbl>
    <w:p>
      <w:pPr>
        <w:spacing w:after="12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single" w:color="0064F0" w:sz="18"/>
              <w:bottom w:val="none" w:color="FFFFFF" w:sz="0"/>
              <w:right w:val="none" w:color="FFFFFF" w:sz="0"/>
            </w:tcBorders>
            <w:shd w:fill="EFF6FF" w:color="auto" w:val="clear"/>
            <w:tcMar>
              <w:top w:type="dxa" w:w="170"/>
              <w:left w:type="dxa" w:w="200"/>
              <w:bottom w:type="dxa" w:w="170"/>
              <w:right w:type="dxa" w:w="200"/>
            </w:tcMar>
          </w:tcPr>
          <w:p>
            <w:pPr>
              <w:spacing w:after="90"/>
            </w:pPr>
            <w:r>
              <w:rPr>
                <w:rFonts w:ascii="Calibri" w:cs="Calibri" w:eastAsia="Calibri" w:hAnsi="Calibri"/>
                <w:b/>
                <w:bCs/>
                <w:color w:val="0064F0"/>
                <w:spacing w:val="26"/>
                <w:sz w:val="15"/>
                <w:szCs w:val="15"/>
              </w:rPr>
              <w:t xml:space="preserve">IF YOU ARE A NSW AGENCY, OR YOU SELL TO ONE</w:t>
            </w:r>
          </w:p>
          <w:p>
            <w:pPr>
              <w:spacing w:after="0" w:line="254"/>
            </w:pPr>
            <w:r>
              <w:rPr>
                <w:rFonts w:ascii="Calibri" w:cs="Calibri" w:eastAsia="Calibri" w:hAnsi="Calibri"/>
                <w:b w:val="false"/>
                <w:bCs w:val="false"/>
                <w:i w:val="false"/>
                <w:iCs w:val="false"/>
                <w:color w:val="2B333F"/>
                <w:sz w:val="19"/>
                <w:szCs w:val="19"/>
              </w:rPr>
              <w:t xml:space="preserve">The NSW AI Assessment Framework is mandatory for all agencies and states that all generative AI solutions should be classified elevated risk. Where residual risk stays high or very high after mitigation, the use case must be referred to the NSW AI Review Committee.</w:t>
            </w:r>
          </w:p>
        </w:tc>
      </w:tr>
    </w:tbl>
    <w:p>
      <w:r>
        <w:br w:type="page"/>
      </w:r>
    </w:p>
    <w:p>
      <w:pPr>
        <w:keepNext/>
        <w:spacing w:after="70"/>
      </w:pPr>
      <w:r>
        <w:rPr>
          <w:rFonts w:ascii="Calibri" w:cs="Calibri" w:eastAsia="Calibri" w:hAnsi="Calibri"/>
          <w:b/>
          <w:bCs/>
          <w:color w:val="0064F0"/>
          <w:spacing w:val="30"/>
          <w:sz w:val="15"/>
          <w:szCs w:val="15"/>
        </w:rPr>
        <w:t xml:space="preserve">PART E  ·  TREAT</w:t>
      </w:r>
    </w:p>
    <w:p>
      <w:pPr>
        <w:keepNext/>
        <w:spacing w:after="140" w:before="0"/>
      </w:pPr>
      <w:r>
        <w:rPr>
          <w:rFonts w:ascii="Calibri" w:cs="Calibri" w:eastAsia="Calibri" w:hAnsi="Calibri"/>
          <w:b/>
          <w:bCs/>
          <w:i w:val="false"/>
          <w:iCs w:val="false"/>
          <w:color w:val="111823"/>
          <w:sz w:val="30"/>
          <w:szCs w:val="30"/>
        </w:rPr>
        <w:t xml:space="preserve">Treat the risks</w:t>
      </w:r>
    </w:p>
    <w:p>
      <w:pPr>
        <w:spacing w:after="200" w:before="0" w:line="264"/>
      </w:pPr>
      <w:r>
        <w:rPr>
          <w:rFonts w:ascii="Calibri" w:cs="Calibri" w:eastAsia="Calibri" w:hAnsi="Calibri"/>
          <w:b w:val="false"/>
          <w:bCs w:val="false"/>
          <w:i w:val="false"/>
          <w:iCs w:val="false"/>
          <w:color w:val="2B333F"/>
          <w:sz w:val="19"/>
          <w:szCs w:val="19"/>
        </w:rPr>
        <w:t xml:space="preserve">Four options, and only four. Avoid the risk by not doing it this way. Mitigate it with a control. Transfer it by contract or insurance. Accept it, by name. Anything that is not one of these four is a hope, not a treatment.</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700"/>
        <w:gridCol w:w="1500"/>
        <w:gridCol w:w="3300"/>
        <w:gridCol w:w="1800"/>
        <w:gridCol w:w="1400"/>
        <w:gridCol w:w="1040"/>
      </w:tblGrid>
      <w:tr>
        <w:trPr>
          <w:tblHeader/>
        </w:trPr>
        <w:tc>
          <w:tcPr>
            <w:tcW w:type="dxa" w:w="7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Ref</w:t>
            </w:r>
          </w:p>
        </w:tc>
        <w:tc>
          <w:tcPr>
            <w:tcW w:type="dxa" w:w="15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Option</w:t>
            </w:r>
          </w:p>
        </w:tc>
        <w:tc>
          <w:tcPr>
            <w:tcW w:type="dxa" w:w="33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Control or action</w:t>
            </w:r>
          </w:p>
        </w:tc>
        <w:tc>
          <w:tcPr>
            <w:tcW w:type="dxa" w:w="18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Owner</w:t>
            </w:r>
          </w:p>
        </w:tc>
        <w:tc>
          <w:tcPr>
            <w:tcW w:type="dxa" w:w="140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In place by</w:t>
            </w:r>
          </w:p>
        </w:tc>
        <w:tc>
          <w:tcPr>
            <w:tcW w:type="dxa" w:w="104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jc w:val="center"/>
            </w:pPr>
            <w:r>
              <w:rPr>
                <w:rFonts w:ascii="Calibri" w:cs="Calibri" w:eastAsia="Calibri" w:hAnsi="Calibri"/>
                <w:b/>
                <w:bCs/>
                <w:i w:val="false"/>
                <w:iCs w:val="false"/>
                <w:color w:val="00337D"/>
                <w:sz w:val="17"/>
                <w:szCs w:val="17"/>
              </w:rPr>
              <w:t xml:space="preserve">Residual</w:t>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r>
        <w:tc>
          <w:tcPr>
            <w:tcW w:type="dxa" w:w="7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5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33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8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40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c>
          <w:tcPr>
            <w:tcW w:type="dxa" w:w="104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
            </w:r>
          </w:p>
        </w:tc>
      </w:tr>
    </w:tbl>
    <w:p>
      <w:pPr>
        <w:spacing w:after="12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single" w:color="0064F0" w:sz="18"/>
              <w:bottom w:val="none" w:color="FFFFFF" w:sz="0"/>
              <w:right w:val="none" w:color="FFFFFF" w:sz="0"/>
            </w:tcBorders>
            <w:shd w:fill="EFF6FF" w:color="auto" w:val="clear"/>
            <w:tcMar>
              <w:top w:type="dxa" w:w="170"/>
              <w:left w:type="dxa" w:w="200"/>
              <w:bottom w:type="dxa" w:w="170"/>
              <w:right w:type="dxa" w:w="200"/>
            </w:tcMar>
          </w:tcPr>
          <w:p>
            <w:pPr>
              <w:spacing w:after="90"/>
            </w:pPr>
            <w:r>
              <w:rPr>
                <w:rFonts w:ascii="Calibri" w:cs="Calibri" w:eastAsia="Calibri" w:hAnsi="Calibri"/>
                <w:b/>
                <w:bCs/>
                <w:color w:val="0064F0"/>
                <w:spacing w:val="26"/>
                <w:sz w:val="15"/>
                <w:szCs w:val="15"/>
              </w:rPr>
              <w:t xml:space="preserve">RECORD INHERENT AND RESIDUAL RISK SEPARATELY</w:t>
            </w:r>
          </w:p>
          <w:p>
            <w:pPr>
              <w:spacing w:after="0" w:line="254"/>
            </w:pPr>
            <w:r>
              <w:rPr>
                <w:rFonts w:ascii="Calibri" w:cs="Calibri" w:eastAsia="Calibri" w:hAnsi="Calibri"/>
                <w:b w:val="false"/>
                <w:bCs w:val="false"/>
                <w:i w:val="false"/>
                <w:iCs w:val="false"/>
                <w:color w:val="2B333F"/>
                <w:sz w:val="19"/>
                <w:szCs w:val="19"/>
              </w:rPr>
              <w:t xml:space="preserve">The difference between the two is your control set. If they are the same number, either your controls do nothing or you have not been honest about the inherent rating. Both are worth finding out now rather than after an incident.</w:t>
            </w:r>
          </w:p>
        </w:tc>
      </w:tr>
    </w:tbl>
    <w:p>
      <w:pPr>
        <w:spacing w:after="6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4870"/>
        <w:gridCol w:w="4870"/>
      </w:tblGrid>
      <w:tr>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80"/>
            </w:pPr>
            <w:r>
              <w:rPr>
                <w:rFonts w:ascii="Calibri" w:cs="Calibri" w:eastAsia="Calibri" w:hAnsi="Calibri"/>
                <w:b/>
                <w:bCs/>
                <w:i w:val="false"/>
                <w:iCs w:val="false"/>
                <w:color w:val="111823"/>
                <w:sz w:val="19"/>
                <w:szCs w:val="19"/>
              </w:rPr>
              <w:t xml:space="preserve">Highest inherent rating</w:t>
            </w:r>
          </w:p>
          <w:p>
            <w:pPr>
              <w:pBdr>
                <w:bottom w:val="single" w:color="E3E8EF" w:sz="4"/>
              </w:pBdr>
              <w:spacing w:after="0" w:before="300"/>
            </w:pPr>
            <w:r>
              <w:rPr>
                <w:sz w:val="18"/>
                <w:szCs w:val="18"/>
              </w:rPr>
              <w:t xml:space="preserve"/>
            </w:r>
          </w:p>
        </w:tc>
        <w:tc>
          <w:tcPr>
            <w:tcW w:type="dxa" w:w="4870"/>
            <w:tcBorders>
              <w:top w:val="none" w:color="FFFFFF" w:sz="0"/>
              <w:left w:val="none" w:color="FFFFFF" w:sz="0"/>
              <w:bottom w:val="none" w:color="FFFFFF" w:sz="0"/>
              <w:right w:val="none" w:color="FFFFFF" w:sz="0"/>
            </w:tcBorders>
            <w:tcMar>
              <w:top w:type="dxa" w:w="60"/>
              <w:left w:type="dxa" w:w="0"/>
              <w:bottom w:type="dxa" w:w="160"/>
              <w:right w:type="dxa" w:w="200"/>
            </w:tcMar>
          </w:tcPr>
          <w:p>
            <w:pPr>
              <w:keepNext/>
              <w:spacing w:after="80"/>
            </w:pPr>
            <w:r>
              <w:rPr>
                <w:rFonts w:ascii="Calibri" w:cs="Calibri" w:eastAsia="Calibri" w:hAnsi="Calibri"/>
                <w:b/>
                <w:bCs/>
                <w:i w:val="false"/>
                <w:iCs w:val="false"/>
                <w:color w:val="111823"/>
                <w:sz w:val="19"/>
                <w:szCs w:val="19"/>
              </w:rPr>
              <w:t xml:space="preserve">Highest residual rating</w:t>
            </w:r>
          </w:p>
          <w:p>
            <w:pPr>
              <w:pBdr>
                <w:bottom w:val="single" w:color="E3E8EF" w:sz="4"/>
              </w:pBdr>
              <w:spacing w:after="0" w:before="300"/>
            </w:pPr>
            <w:r>
              <w:rPr>
                <w:sz w:val="18"/>
                <w:szCs w:val="18"/>
              </w:rPr>
              <w:t xml:space="preserve"/>
            </w:r>
          </w:p>
        </w:tc>
      </w:tr>
    </w:tbl>
    <w:p>
      <w:pPr>
        <w:keepNext/>
        <w:spacing w:after="40" w:before="160"/>
      </w:pPr>
      <w:r>
        <w:rPr>
          <w:rFonts w:ascii="Calibri" w:cs="Calibri" w:eastAsia="Calibri" w:hAnsi="Calibri"/>
          <w:b/>
          <w:bCs/>
          <w:i w:val="false"/>
          <w:iCs w:val="false"/>
          <w:color w:val="111823"/>
          <w:sz w:val="19"/>
          <w:szCs w:val="19"/>
        </w:rPr>
        <w:t xml:space="preserve">Residual risk accepted, in plain words</w:t>
      </w:r>
    </w:p>
    <w:p>
      <w:pPr>
        <w:keepNext/>
        <w:spacing w:after="0"/>
      </w:pPr>
      <w:r>
        <w:rPr>
          <w:rFonts w:ascii="Calibri" w:cs="Calibri" w:eastAsia="Calibri" w:hAnsi="Calibri"/>
          <w:b w:val="false"/>
          <w:bCs w:val="false"/>
          <w:i/>
          <w:iCs/>
          <w:color w:val="6B7280"/>
          <w:sz w:val="16"/>
          <w:szCs w:val="16"/>
        </w:rPr>
        <w:t xml:space="preserve">What we are choosing to live with, and why that is reasonable.</w:t>
      </w:r>
    </w:p>
    <w:p>
      <w:pPr>
        <w:keepNext/>
        <w:pBdr>
          <w:bottom w:val="single" w:color="E3E8EF" w:sz="4"/>
        </w:pBdr>
        <w:spacing w:after="0" w:before="220"/>
        <w:ind w:left="0"/>
      </w:pPr>
      <w:r>
        <w:rPr>
          <w:sz w:val="20"/>
          <w:szCs w:val="20"/>
        </w:rPr>
        <w:t xml:space="preserve"/>
      </w:r>
    </w:p>
    <w:p>
      <w:pPr>
        <w:keepNext/>
        <w:pBdr>
          <w:bottom w:val="single" w:color="E3E8F0" w:sz="4"/>
        </w:pBdr>
        <w:spacing w:after="0" w:before="220"/>
        <w:ind w:left="0"/>
      </w:pPr>
      <w:r>
        <w:rPr>
          <w:sz w:val="20"/>
          <w:szCs w:val="20"/>
        </w:rPr>
        <w:t xml:space="preserve"/>
      </w:r>
    </w:p>
    <w:p>
      <w:pPr>
        <w:keepNext w:val="false"/>
        <w:pBdr>
          <w:bottom w:val="single" w:color="E2E8EF" w:sz="4"/>
        </w:pBdr>
        <w:spacing w:after="0" w:before="220"/>
        <w:ind w:left="0"/>
      </w:pPr>
      <w:r>
        <w:rPr>
          <w:sz w:val="20"/>
          <w:szCs w:val="20"/>
        </w:rPr>
        <w:t xml:space="preserve"/>
      </w:r>
    </w:p>
    <w:p>
      <w:r>
        <w:br w:type="page"/>
      </w:r>
    </w:p>
    <w:p>
      <w:pPr>
        <w:keepNext/>
        <w:spacing w:after="70"/>
      </w:pPr>
      <w:r>
        <w:rPr>
          <w:rFonts w:ascii="Calibri" w:cs="Calibri" w:eastAsia="Calibri" w:hAnsi="Calibri"/>
          <w:b/>
          <w:bCs/>
          <w:color w:val="0064F0"/>
          <w:spacing w:val="30"/>
          <w:sz w:val="15"/>
          <w:szCs w:val="15"/>
        </w:rPr>
        <w:t xml:space="preserve">PART F  ·  DECIDE, RECORD, REVIEW</w:t>
      </w:r>
    </w:p>
    <w:p>
      <w:pPr>
        <w:keepNext/>
        <w:spacing w:after="140" w:before="0"/>
      </w:pPr>
      <w:r>
        <w:rPr>
          <w:rFonts w:ascii="Calibri" w:cs="Calibri" w:eastAsia="Calibri" w:hAnsi="Calibri"/>
          <w:b/>
          <w:bCs/>
          <w:i w:val="false"/>
          <w:iCs w:val="false"/>
          <w:color w:val="111823"/>
          <w:sz w:val="30"/>
          <w:szCs w:val="30"/>
        </w:rPr>
        <w:t xml:space="preserve">The decision record</w:t>
      </w:r>
    </w:p>
    <w:tbl>
      <w:tblPr>
        <w:tblW w:type="dxa" w:w="9740"/>
        <w:tblBorders>
          <w:top w:val="single" w:color="0064F0" w:sz="12"/>
          <w:left w:val="single" w:color="0064F0" w:sz="12"/>
          <w:bottom w:val="single" w:color="0064F0" w:sz="12"/>
          <w:right w:val="single" w:color="0064F0" w:sz="12"/>
          <w:insideH w:val="single" w:color="auto" w:sz="4"/>
          <w:insideV w:val="single" w:color="auto" w:sz="4"/>
        </w:tblBorders>
      </w:tblPr>
      <w:tblGrid>
        <w:gridCol w:w="9740"/>
      </w:tblGrid>
      <w:tr>
        <w:tc>
          <w:tcPr>
            <w:tcW w:type="dxa" w:w="9740"/>
            <w:tcMar>
              <w:top w:type="dxa" w:w="200"/>
              <w:left w:type="dxa" w:w="220"/>
              <w:bottom w:type="dxa" w:w="200"/>
              <w:right w:type="dxa" w:w="220"/>
            </w:tcMar>
          </w:tcPr>
          <w:p>
            <w:pPr>
              <w:spacing w:after="120"/>
            </w:pPr>
            <w:r>
              <w:rPr>
                <w:rFonts w:ascii="Calibri" w:cs="Calibri" w:eastAsia="Calibri" w:hAnsi="Calibri"/>
                <w:b/>
                <w:bCs/>
                <w:color w:val="0064F0"/>
                <w:spacing w:val="26"/>
                <w:sz w:val="15"/>
                <w:szCs w:val="15"/>
              </w:rPr>
              <w:t xml:space="preserve">THIS USE CASE</w:t>
            </w:r>
          </w:p>
          <w:p>
            <w:pPr>
              <w:keepNext/>
              <w:spacing w:after="40"/>
            </w:pPr>
            <w:r>
              <w:rPr>
                <w:rFonts w:ascii="Calibri" w:cs="Calibri" w:eastAsia="Calibri" w:hAnsi="Calibri"/>
                <w:b w:val="false"/>
                <w:bCs w:val="false"/>
                <w:i w:val="false"/>
                <w:iCs w:val="false"/>
                <w:color w:val="7A8494"/>
                <w:sz w:val="24"/>
                <w:szCs w:val="24"/>
              </w:rPr>
              <w:t xml:space="preserve">☐</w:t>
            </w:r>
            <w:r>
              <w:rPr>
                <w:rFonts w:ascii="Calibri" w:cs="Calibri" w:eastAsia="Calibri" w:hAnsi="Calibri"/>
                <w:b/>
                <w:bCs/>
                <w:i w:val="false"/>
                <w:iCs w:val="false"/>
                <w:color w:val="111823"/>
                <w:sz w:val="21"/>
                <w:szCs w:val="21"/>
              </w:rPr>
              <w:t xml:space="preserve">   Proceeds</w:t>
            </w:r>
          </w:p>
          <w:p>
            <w:pPr>
              <w:spacing w:after="140"/>
              <w:ind w:left="420"/>
            </w:pPr>
            <w:r>
              <w:rPr>
                <w:rFonts w:ascii="Calibri" w:cs="Calibri" w:eastAsia="Calibri" w:hAnsi="Calibri"/>
                <w:b w:val="false"/>
                <w:bCs w:val="false"/>
                <w:i w:val="false"/>
                <w:iCs w:val="false"/>
                <w:color w:val="6B7280"/>
                <w:sz w:val="18"/>
                <w:szCs w:val="18"/>
              </w:rPr>
              <w:t xml:space="preserve">Residual risk is within the criteria set in Part A.</w:t>
            </w:r>
          </w:p>
          <w:p>
            <w:pPr>
              <w:keepNext/>
              <w:spacing w:after="40"/>
            </w:pPr>
            <w:r>
              <w:rPr>
                <w:rFonts w:ascii="Calibri" w:cs="Calibri" w:eastAsia="Calibri" w:hAnsi="Calibri"/>
                <w:b w:val="false"/>
                <w:bCs w:val="false"/>
                <w:i w:val="false"/>
                <w:iCs w:val="false"/>
                <w:color w:val="7A8494"/>
                <w:sz w:val="24"/>
                <w:szCs w:val="24"/>
              </w:rPr>
              <w:t xml:space="preserve">☐</w:t>
            </w:r>
            <w:r>
              <w:rPr>
                <w:rFonts w:ascii="Calibri" w:cs="Calibri" w:eastAsia="Calibri" w:hAnsi="Calibri"/>
                <w:b/>
                <w:bCs/>
                <w:i w:val="false"/>
                <w:iCs w:val="false"/>
                <w:color w:val="111823"/>
                <w:sz w:val="21"/>
                <w:szCs w:val="21"/>
              </w:rPr>
              <w:t xml:space="preserve">   Proceeds with conditions</w:t>
            </w:r>
          </w:p>
          <w:p>
            <w:pPr>
              <w:spacing w:after="140"/>
              <w:ind w:left="420"/>
            </w:pPr>
            <w:r>
              <w:rPr>
                <w:rFonts w:ascii="Calibri" w:cs="Calibri" w:eastAsia="Calibri" w:hAnsi="Calibri"/>
                <w:b w:val="false"/>
                <w:bCs w:val="false"/>
                <w:i w:val="false"/>
                <w:iCs w:val="false"/>
                <w:color w:val="6B7280"/>
                <w:sz w:val="18"/>
                <w:szCs w:val="18"/>
              </w:rPr>
              <w:t xml:space="preserve">Conditions recorded below, with owners and dates.</w:t>
            </w:r>
          </w:p>
          <w:p>
            <w:pPr>
              <w:keepNext/>
              <w:spacing w:after="40"/>
            </w:pPr>
            <w:r>
              <w:rPr>
                <w:rFonts w:ascii="Calibri" w:cs="Calibri" w:eastAsia="Calibri" w:hAnsi="Calibri"/>
                <w:b w:val="false"/>
                <w:bCs w:val="false"/>
                <w:i w:val="false"/>
                <w:iCs w:val="false"/>
                <w:color w:val="7A8494"/>
                <w:sz w:val="24"/>
                <w:szCs w:val="24"/>
              </w:rPr>
              <w:t xml:space="preserve">☐</w:t>
            </w:r>
            <w:r>
              <w:rPr>
                <w:rFonts w:ascii="Calibri" w:cs="Calibri" w:eastAsia="Calibri" w:hAnsi="Calibri"/>
                <w:b/>
                <w:bCs/>
                <w:i w:val="false"/>
                <w:iCs w:val="false"/>
                <w:color w:val="111823"/>
                <w:sz w:val="21"/>
                <w:szCs w:val="21"/>
              </w:rPr>
              <w:t xml:space="preserve">   Does not proceed</w:t>
            </w:r>
          </w:p>
          <w:p>
            <w:pPr>
              <w:spacing w:after="0"/>
              <w:ind w:left="420"/>
            </w:pPr>
            <w:r>
              <w:rPr>
                <w:rFonts w:ascii="Calibri" w:cs="Calibri" w:eastAsia="Calibri" w:hAnsi="Calibri"/>
                <w:b w:val="false"/>
                <w:bCs w:val="false"/>
                <w:i w:val="false"/>
                <w:iCs w:val="false"/>
                <w:color w:val="6B7280"/>
                <w:sz w:val="18"/>
                <w:szCs w:val="18"/>
              </w:rPr>
              <w:t xml:space="preserve">Reason recorded below. This is a valid outcome.</w:t>
            </w:r>
          </w:p>
        </w:tc>
      </w:tr>
    </w:tbl>
    <w:p>
      <w:pPr>
        <w:keepNext/>
        <w:spacing w:after="0" w:before="160"/>
      </w:pPr>
      <w:r>
        <w:rPr>
          <w:rFonts w:ascii="Calibri" w:cs="Calibri" w:eastAsia="Calibri" w:hAnsi="Calibri"/>
          <w:b/>
          <w:bCs/>
          <w:i w:val="false"/>
          <w:iCs w:val="false"/>
          <w:color w:val="111823"/>
          <w:sz w:val="19"/>
          <w:szCs w:val="19"/>
        </w:rPr>
        <w:t xml:space="preserve">Conditions, or the reason for not proceeding</w:t>
      </w:r>
    </w:p>
    <w:p>
      <w:pPr>
        <w:keepNext/>
        <w:pBdr>
          <w:bottom w:val="single" w:color="E3E8EF" w:sz="4"/>
        </w:pBdr>
        <w:spacing w:after="0" w:before="220"/>
        <w:ind w:left="0"/>
      </w:pPr>
      <w:r>
        <w:rPr>
          <w:sz w:val="20"/>
          <w:szCs w:val="20"/>
        </w:rPr>
        <w:t xml:space="preserve"/>
      </w:r>
    </w:p>
    <w:p>
      <w:pPr>
        <w:keepNext w:val="false"/>
        <w:pBdr>
          <w:bottom w:val="single" w:color="E3E8F0" w:sz="4"/>
        </w:pBdr>
        <w:spacing w:after="0" w:before="220"/>
        <w:ind w:left="0"/>
      </w:pPr>
      <w:r>
        <w:rPr>
          <w:sz w:val="20"/>
          <w:szCs w:val="20"/>
        </w:rPr>
        <w:t xml:space="preserve"/>
      </w:r>
    </w:p>
    <w:p>
      <w:pPr>
        <w:spacing w:after="20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2435"/>
        <w:gridCol w:w="2435"/>
        <w:gridCol w:w="2435"/>
        <w:gridCol w:w="2435"/>
      </w:tblGrid>
      <w:tr>
        <w:tc>
          <w:tcPr>
            <w:tcW w:type="dxa" w:w="2435"/>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0"/>
            </w:pPr>
            <w:r>
              <w:rPr>
                <w:rFonts w:ascii="Calibri" w:cs="Calibri" w:eastAsia="Calibri" w:hAnsi="Calibri"/>
                <w:b/>
                <w:bCs/>
                <w:color w:val="9AA3AF"/>
                <w:spacing w:val="22"/>
                <w:sz w:val="14"/>
                <w:szCs w:val="14"/>
              </w:rPr>
              <w:t xml:space="preserve">ASSESSED BY</w:t>
            </w:r>
          </w:p>
          <w:p>
            <w:pPr>
              <w:pBdr>
                <w:bottom w:val="single" w:color="E3E8EF" w:sz="4"/>
              </w:pBdr>
              <w:spacing w:after="0" w:before="300"/>
            </w:pPr>
            <w:r>
              <w:rPr>
                <w:sz w:val="18"/>
                <w:szCs w:val="18"/>
              </w:rPr>
              <w:t xml:space="preserve"/>
            </w:r>
          </w:p>
        </w:tc>
        <w:tc>
          <w:tcPr>
            <w:tcW w:type="dxa" w:w="2435"/>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0"/>
            </w:pPr>
            <w:r>
              <w:rPr>
                <w:rFonts w:ascii="Calibri" w:cs="Calibri" w:eastAsia="Calibri" w:hAnsi="Calibri"/>
                <w:b/>
                <w:bCs/>
                <w:color w:val="9AA3AF"/>
                <w:spacing w:val="22"/>
                <w:sz w:val="14"/>
                <w:szCs w:val="14"/>
              </w:rPr>
              <w:t xml:space="preserve">RISK OWNER</w:t>
            </w:r>
          </w:p>
          <w:p>
            <w:pPr>
              <w:pBdr>
                <w:bottom w:val="single" w:color="E3E8EF" w:sz="4"/>
              </w:pBdr>
              <w:spacing w:after="0" w:before="300"/>
            </w:pPr>
            <w:r>
              <w:rPr>
                <w:sz w:val="18"/>
                <w:szCs w:val="18"/>
              </w:rPr>
              <w:t xml:space="preserve"/>
            </w:r>
          </w:p>
        </w:tc>
        <w:tc>
          <w:tcPr>
            <w:tcW w:type="dxa" w:w="2435"/>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0"/>
            </w:pPr>
            <w:r>
              <w:rPr>
                <w:rFonts w:ascii="Calibri" w:cs="Calibri" w:eastAsia="Calibri" w:hAnsi="Calibri"/>
                <w:b/>
                <w:bCs/>
                <w:color w:val="9AA3AF"/>
                <w:spacing w:val="22"/>
                <w:sz w:val="14"/>
                <w:szCs w:val="14"/>
              </w:rPr>
              <w:t xml:space="preserve">ACCOUNTABLE OFFICER</w:t>
            </w:r>
          </w:p>
          <w:p>
            <w:pPr>
              <w:pBdr>
                <w:bottom w:val="single" w:color="E3E8EF" w:sz="4"/>
              </w:pBdr>
              <w:spacing w:after="0" w:before="300"/>
            </w:pPr>
            <w:r>
              <w:rPr>
                <w:sz w:val="18"/>
                <w:szCs w:val="18"/>
              </w:rPr>
              <w:t xml:space="preserve"/>
            </w:r>
          </w:p>
        </w:tc>
        <w:tc>
          <w:tcPr>
            <w:tcW w:type="dxa" w:w="2435"/>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0"/>
            </w:pPr>
            <w:r>
              <w:rPr>
                <w:rFonts w:ascii="Calibri" w:cs="Calibri" w:eastAsia="Calibri" w:hAnsi="Calibri"/>
                <w:b/>
                <w:bCs/>
                <w:color w:val="9AA3AF"/>
                <w:spacing w:val="22"/>
                <w:sz w:val="14"/>
                <w:szCs w:val="14"/>
              </w:rPr>
              <w:t xml:space="preserve">NEXT REVIEW DATE</w:t>
            </w:r>
          </w:p>
          <w:p>
            <w:pPr>
              <w:pBdr>
                <w:bottom w:val="single" w:color="E3E8EF" w:sz="4"/>
              </w:pBdr>
              <w:spacing w:after="0" w:before="300"/>
            </w:pPr>
            <w:r>
              <w:rPr>
                <w:sz w:val="18"/>
                <w:szCs w:val="18"/>
              </w:rPr>
              <w:t xml:space="preserve"/>
            </w:r>
          </w:p>
        </w:tc>
      </w:tr>
    </w:tbl>
    <w:p>
      <w:pPr>
        <w:keepNext/>
        <w:keepLines/>
        <w:spacing w:after="80" w:before="320"/>
      </w:pPr>
      <w:r>
        <w:rPr>
          <w:rFonts w:ascii="Calibri" w:cs="Calibri" w:eastAsia="Calibri" w:hAnsi="Calibri"/>
          <w:b/>
          <w:bCs/>
          <w:i w:val="false"/>
          <w:iCs w:val="false"/>
          <w:color w:val="111823"/>
          <w:sz w:val="21"/>
          <w:szCs w:val="21"/>
        </w:rPr>
        <w:t xml:space="preserve">Now write the policy from this</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4870"/>
        <w:gridCol w:w="4870"/>
      </w:tblGrid>
      <w:tr>
        <w:trPr>
          <w:tblHeader/>
        </w:trPr>
        <w:tc>
          <w:tcPr>
            <w:tcW w:type="dxa" w:w="487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What this assessment produced</w:t>
            </w:r>
          </w:p>
        </w:tc>
        <w:tc>
          <w:tcPr>
            <w:tcW w:type="dxa" w:w="4870"/>
            <w:tcBorders>
              <w:top w:val="single" w:color="E3E8EF" w:sz="4"/>
              <w:left w:val="single" w:color="E3E8EF" w:sz="4"/>
              <w:bottom w:val="single" w:color="E3E8EF" w:sz="4"/>
              <w:right w:val="single" w:color="E3E8EF" w:sz="4"/>
            </w:tcBorders>
            <w:shd w:fill="EFF6FF" w:color="auto" w:val="clear"/>
            <w:tcMar>
              <w:top w:type="dxa" w:w="100"/>
              <w:left w:type="dxa" w:w="140"/>
              <w:bottom w:type="dxa" w:w="100"/>
              <w:right w:type="dxa" w:w="140"/>
            </w:tcMar>
          </w:tcPr>
          <w:p>
            <w:pPr>
              <w:spacing w:after="0"/>
            </w:pPr>
            <w:r>
              <w:rPr>
                <w:rFonts w:ascii="Calibri" w:cs="Calibri" w:eastAsia="Calibri" w:hAnsi="Calibri"/>
                <w:b/>
                <w:bCs/>
                <w:i w:val="false"/>
                <w:iCs w:val="false"/>
                <w:color w:val="00337D"/>
                <w:sz w:val="17"/>
                <w:szCs w:val="17"/>
              </w:rPr>
              <w:t xml:space="preserve">The policy clause it becomes</w:t>
            </w:r>
          </w:p>
        </w:tc>
      </w:tr>
      <w:tr>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Use cases assessed as acceptable</w:t>
            </w:r>
          </w:p>
        </w:tc>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What AI may be used for</w:t>
            </w:r>
          </w:p>
        </w:tc>
      </w:tr>
      <w:tr>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Data classes unacceptable at any tier</w:t>
            </w:r>
          </w:p>
        </w:tc>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What must never be entered, named specifically</w:t>
            </w:r>
          </w:p>
        </w:tc>
      </w:tr>
      <w:tr>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Vendors whose terms passed review</w:t>
            </w:r>
          </w:p>
        </w:tc>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The approved tool list</w:t>
            </w:r>
          </w:p>
        </w:tc>
      </w:tr>
      <w:tr>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Controls required to reach acceptable residual risk</w:t>
            </w:r>
          </w:p>
        </w:tc>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Conditions of use, and who approves exceptions</w:t>
            </w:r>
          </w:p>
        </w:tc>
      </w:tr>
      <w:tr>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Named risk owners</w:t>
            </w:r>
          </w:p>
        </w:tc>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Accountability and escalation</w:t>
            </w:r>
          </w:p>
        </w:tc>
      </w:tr>
      <w:tr>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Review cadence</w:t>
            </w:r>
          </w:p>
        </w:tc>
        <w:tc>
          <w:tcPr>
            <w:tcW w:type="dxa" w:w="4870"/>
            <w:tcBorders>
              <w:top w:val="single" w:color="E3E8EF" w:sz="4"/>
              <w:left w:val="single" w:color="E3E8EF" w:sz="4"/>
              <w:bottom w:val="single" w:color="E3E8EF" w:sz="4"/>
              <w:right w:val="single" w:color="E3E8EF" w:sz="4"/>
            </w:tcBorders>
            <w:tcMar>
              <w:top w:type="dxa" w:w="100"/>
              <w:left w:type="dxa" w:w="140"/>
              <w:bottom w:type="dxa" w:w="100"/>
              <w:right w:type="dxa" w:w="140"/>
            </w:tcMar>
          </w:tcPr>
          <w:p>
            <w:pPr>
              <w:spacing w:after="0" w:line="250"/>
            </w:pPr>
            <w:r>
              <w:rPr>
                <w:rFonts w:ascii="Calibri" w:cs="Calibri" w:eastAsia="Calibri" w:hAnsi="Calibri"/>
                <w:b w:val="false"/>
                <w:bCs w:val="false"/>
                <w:i w:val="false"/>
                <w:iCs w:val="false"/>
                <w:color w:val="2B333F"/>
                <w:sz w:val="18"/>
                <w:szCs w:val="18"/>
              </w:rPr>
              <w:t xml:space="preserve">When the policy is next revisited, and by whom</w:t>
            </w:r>
          </w:p>
        </w:tc>
      </w:tr>
    </w:tbl>
    <w:p>
      <w:pPr>
        <w:spacing w:after="200" w:before="0" w:line="264"/>
      </w:pPr>
      <w:r>
        <w:rPr>
          <w:rFonts w:ascii="Calibri" w:cs="Calibri" w:eastAsia="Calibri" w:hAnsi="Calibri"/>
          <w:b w:val="false"/>
          <w:bCs w:val="false"/>
          <w:i w:val="false"/>
          <w:iCs w:val="false"/>
          <w:color w:val="2B333F"/>
          <w:sz w:val="20"/>
          <w:szCs w:val="20"/>
        </w:rPr>
        <w:t xml:space="preserve"/>
      </w: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none" w:color="FFFFFF" w:sz="0"/>
              <w:bottom w:val="none" w:color="FFFFFF" w:sz="0"/>
              <w:right w:val="none" w:color="FFFFFF" w:sz="0"/>
            </w:tcBorders>
            <w:shd w:fill="111823" w:color="auto" w:val="clear"/>
            <w:tcMar>
              <w:top w:type="dxa" w:w="240"/>
              <w:left w:type="dxa" w:w="280"/>
              <w:bottom w:type="dxa" w:w="240"/>
              <w:right w:type="dxa" w:w="280"/>
            </w:tcMar>
          </w:tcPr>
          <w:p>
            <w:pPr>
              <w:spacing w:after="100"/>
            </w:pPr>
            <w:r>
              <w:rPr>
                <w:rFonts w:ascii="Calibri" w:cs="Calibri" w:eastAsia="Calibri" w:hAnsi="Calibri"/>
                <w:b/>
                <w:bCs/>
                <w:color w:val="7FB4FF"/>
                <w:spacing w:val="30"/>
                <w:sz w:val="15"/>
                <w:szCs w:val="15"/>
              </w:rPr>
              <w:t xml:space="preserve">STEP THREE OF THREE</w:t>
            </w:r>
          </w:p>
          <w:p>
            <w:pPr>
              <w:spacing w:after="120"/>
            </w:pPr>
            <w:r>
              <w:rPr>
                <w:rFonts w:ascii="Calibri" w:cs="Calibri" w:eastAsia="Calibri" w:hAnsi="Calibri"/>
                <w:b/>
                <w:bCs/>
                <w:i w:val="false"/>
                <w:iCs w:val="false"/>
                <w:color w:val="FFFFFF"/>
                <w:sz w:val="26"/>
                <w:szCs w:val="26"/>
              </w:rPr>
              <w:t xml:space="preserve">The people who sign this need to understand it.</w:t>
            </w:r>
          </w:p>
          <w:p>
            <w:pPr>
              <w:spacing w:after="120" w:line="252"/>
            </w:pPr>
            <w:r>
              <w:rPr>
                <w:rFonts w:ascii="Calibri" w:cs="Calibri" w:eastAsia="Calibri" w:hAnsi="Calibri"/>
                <w:b w:val="false"/>
                <w:bCs w:val="false"/>
                <w:i w:val="false"/>
                <w:iCs w:val="false"/>
                <w:color w:val="D7E4F7"/>
                <w:sz w:val="18"/>
                <w:szCs w:val="18"/>
              </w:rPr>
              <w:t xml:space="preserve">An assessment is only as good as the judgement behind the ratings. Nexacu runs one day, instructor led AI courses across Australia, face to face or live online.</w:t>
            </w:r>
          </w:p>
          <w:p>
            <w:pPr>
              <w:spacing w:after="100" w:line="252"/>
            </w:pPr>
            <w:r>
              <w:rPr>
                <w:rFonts w:ascii="Calibri" w:cs="Calibri" w:eastAsia="Calibri" w:hAnsi="Calibri"/>
                <w:b/>
                <w:bCs/>
                <w:i w:val="false"/>
                <w:iCs w:val="false"/>
                <w:color w:val="FFFFFF"/>
                <w:sz w:val="18"/>
                <w:szCs w:val="18"/>
              </w:rPr>
              <w:t xml:space="preserve">AI Governance Training   ·   AI for Business Leaders and Managers   ·   AI Prompting Fundamentals</w:t>
            </w:r>
          </w:p>
          <w:p>
            <w:pPr>
              <w:spacing w:after="0"/>
            </w:pPr>
            <w:r>
              <w:rPr>
                <w:rFonts w:ascii="Calibri" w:cs="Calibri" w:eastAsia="Calibri" w:hAnsi="Calibri"/>
                <w:b/>
                <w:bCs/>
                <w:i w:val="false"/>
                <w:iCs w:val="false"/>
                <w:color w:val="FFFFFF"/>
                <w:sz w:val="21"/>
                <w:szCs w:val="21"/>
              </w:rPr>
              <w:t xml:space="preserve">nexacu.com.au</w:t>
            </w:r>
          </w:p>
        </w:tc>
      </w:tr>
    </w:tbl>
    <w:p>
      <w:pPr>
        <w:spacing w:after="140" w:before="0" w:line="264"/>
      </w:pPr>
      <w:r>
        <w:rPr>
          <w:rFonts w:ascii="Calibri" w:cs="Calibri" w:eastAsia="Calibri" w:hAnsi="Calibri"/>
          <w:b w:val="false"/>
          <w:bCs w:val="false"/>
          <w:i w:val="false"/>
          <w:iCs w:val="false"/>
          <w:color w:val="2B333F"/>
          <w:sz w:val="20"/>
          <w:szCs w:val="20"/>
        </w:rPr>
        <w:t xml:space="preserve"/>
      </w:r>
    </w:p>
    <w:p>
      <w:pPr>
        <w:pBdr>
          <w:top w:val="single" w:color="E3E8EF" w:sz="4"/>
        </w:pBdr>
        <w:spacing w:after="0" w:before="60" w:line="240"/>
      </w:pPr>
      <w:r>
        <w:rPr>
          <w:rFonts w:ascii="Calibri" w:cs="Calibri" w:eastAsia="Calibri" w:hAnsi="Calibri"/>
          <w:b w:val="false"/>
          <w:bCs w:val="false"/>
          <w:i w:val="false"/>
          <w:iCs w:val="false"/>
          <w:color w:val="9AA3AF"/>
          <w:sz w:val="13"/>
          <w:szCs w:val="13"/>
        </w:rPr>
        <w:t xml:space="preserve">  Nexacu grants permission to copy, adapt and reuse this template inside your own organisation. This is a governance template, not legal advice. Sources: ISO/IEC 23894:2023 · AS ISO/IEC 42001:2023 · National AI Centre, Guidance for AI Adoption and AI screening tool · DTA, AI impact assessment tool and staff guidance on public generative AI · Digital NSW, AI Assessment Framework · OAIC guidance on commercially available AI products · Supreme Court of NSW Practice Note SC Gen 23 · Ahpra · Fifth Quadrant for the National AI Centre, Australian Responsible AI Index 2025.</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AI risk assessment template</dc:title>
  <dc:creator>Nexacu</dc:creator>
  <dc:description>A working AI risk assessment for one use case, built on the ISO/IEC 23894 process.</dc:description>
  <cp:lastModifiedBy>Un-named</cp:lastModifiedBy>
  <cp:revision>1</cp:revision>
  <dcterms:created xsi:type="dcterms:W3CDTF">2026-08-11T00:49:07.424Z</dcterms:created>
  <dcterms:modified xsi:type="dcterms:W3CDTF">2026-08-11T00:49:07.424Z</dcterms:modified>
</cp:coreProperties>
</file>

<file path=docProps/custom.xml><?xml version="1.0" encoding="utf-8"?>
<Properties xmlns="http://schemas.openxmlformats.org/officeDocument/2006/custom-properties" xmlns:vt="http://schemas.openxmlformats.org/officeDocument/2006/docPropsVTypes"/>
</file>